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C63" w:rsidRPr="00044CAC" w:rsidRDefault="008415B1" w:rsidP="00C50C63">
      <w:pPr>
        <w:jc w:val="center"/>
        <w:rPr>
          <w:rFonts w:eastAsia="方正黑体_GBK"/>
          <w:color w:val="000000" w:themeColor="text1"/>
          <w:sz w:val="44"/>
          <w:szCs w:val="44"/>
        </w:rPr>
      </w:pPr>
      <w:r w:rsidRPr="008415B1">
        <w:rPr>
          <w:rFonts w:ascii="方正小标宋_GBK" w:eastAsia="方正小标宋_GBK" w:hint="eastAsia"/>
          <w:b/>
          <w:color w:val="000000" w:themeColor="text1"/>
          <w:sz w:val="44"/>
          <w:szCs w:val="44"/>
        </w:rPr>
        <w:t>《安徽省水污染防治技</w:t>
      </w:r>
      <w:bookmarkStart w:id="0" w:name="_GoBack"/>
      <w:bookmarkEnd w:id="0"/>
      <w:r w:rsidRPr="008415B1">
        <w:rPr>
          <w:rFonts w:ascii="方正小标宋_GBK" w:eastAsia="方正小标宋_GBK" w:hint="eastAsia"/>
          <w:b/>
          <w:color w:val="000000" w:themeColor="text1"/>
          <w:sz w:val="44"/>
          <w:szCs w:val="44"/>
        </w:rPr>
        <w:t>术指导目录（2020年度）》拟收录技术</w:t>
      </w:r>
      <w:r w:rsidR="00C50C63" w:rsidRPr="00044CAC">
        <w:rPr>
          <w:rFonts w:ascii="方正小标宋_GBK" w:eastAsia="方正小标宋_GBK" w:hint="eastAsia"/>
          <w:b/>
          <w:color w:val="000000" w:themeColor="text1"/>
          <w:sz w:val="44"/>
          <w:szCs w:val="44"/>
        </w:rPr>
        <w:t>及简介</w:t>
      </w:r>
    </w:p>
    <w:tbl>
      <w:tblPr>
        <w:tblStyle w:val="aa"/>
        <w:tblW w:w="14174" w:type="dxa"/>
        <w:tblLayout w:type="fixed"/>
        <w:tblLook w:val="04A0" w:firstRow="1" w:lastRow="0" w:firstColumn="1" w:lastColumn="0" w:noHBand="0" w:noVBand="1"/>
      </w:tblPr>
      <w:tblGrid>
        <w:gridCol w:w="817"/>
        <w:gridCol w:w="1874"/>
        <w:gridCol w:w="1903"/>
        <w:gridCol w:w="2035"/>
        <w:gridCol w:w="7545"/>
      </w:tblGrid>
      <w:tr w:rsidR="00C50C63" w:rsidRPr="00044CAC" w:rsidTr="00044CAC">
        <w:tc>
          <w:tcPr>
            <w:tcW w:w="817" w:type="dxa"/>
            <w:vAlign w:val="center"/>
          </w:tcPr>
          <w:p w:rsidR="00C50C63" w:rsidRPr="00044CAC" w:rsidRDefault="00C50C63" w:rsidP="00044CAC">
            <w:pPr>
              <w:widowControl/>
              <w:spacing w:line="380" w:lineRule="exact"/>
              <w:jc w:val="center"/>
              <w:rPr>
                <w:rFonts w:asciiTheme="minorEastAsia" w:hAnsiTheme="minorEastAsia"/>
                <w:b/>
                <w:bCs/>
                <w:color w:val="000000" w:themeColor="text1"/>
                <w:sz w:val="21"/>
                <w:szCs w:val="21"/>
              </w:rPr>
            </w:pPr>
            <w:r w:rsidRPr="00044CAC">
              <w:rPr>
                <w:rFonts w:asciiTheme="minorEastAsia" w:hAnsiTheme="minorEastAsia"/>
                <w:b/>
                <w:bCs/>
                <w:color w:val="000000" w:themeColor="text1"/>
                <w:sz w:val="21"/>
                <w:szCs w:val="21"/>
              </w:rPr>
              <w:t>序号</w:t>
            </w:r>
          </w:p>
        </w:tc>
        <w:tc>
          <w:tcPr>
            <w:tcW w:w="1874" w:type="dxa"/>
            <w:vAlign w:val="center"/>
          </w:tcPr>
          <w:p w:rsidR="00C50C63" w:rsidRPr="00044CAC" w:rsidRDefault="00C50C63" w:rsidP="00044CAC">
            <w:pPr>
              <w:widowControl/>
              <w:spacing w:line="380" w:lineRule="exact"/>
              <w:jc w:val="center"/>
              <w:rPr>
                <w:rFonts w:asciiTheme="minorEastAsia" w:hAnsiTheme="minorEastAsia"/>
                <w:b/>
                <w:bCs/>
                <w:color w:val="000000" w:themeColor="text1"/>
                <w:sz w:val="21"/>
                <w:szCs w:val="21"/>
              </w:rPr>
            </w:pPr>
            <w:r w:rsidRPr="00044CAC">
              <w:rPr>
                <w:rFonts w:asciiTheme="minorEastAsia" w:hAnsiTheme="minorEastAsia"/>
                <w:b/>
                <w:bCs/>
                <w:color w:val="000000" w:themeColor="text1"/>
                <w:sz w:val="21"/>
                <w:szCs w:val="21"/>
              </w:rPr>
              <w:t>技术名称</w:t>
            </w:r>
          </w:p>
        </w:tc>
        <w:tc>
          <w:tcPr>
            <w:tcW w:w="1903" w:type="dxa"/>
            <w:vAlign w:val="center"/>
          </w:tcPr>
          <w:p w:rsidR="00C50C63" w:rsidRPr="00044CAC" w:rsidRDefault="00C50C63" w:rsidP="00044CAC">
            <w:pPr>
              <w:widowControl/>
              <w:spacing w:line="380" w:lineRule="exact"/>
              <w:jc w:val="center"/>
              <w:rPr>
                <w:rFonts w:asciiTheme="minorEastAsia" w:hAnsiTheme="minorEastAsia"/>
                <w:b/>
                <w:bCs/>
                <w:color w:val="000000" w:themeColor="text1"/>
                <w:sz w:val="21"/>
                <w:szCs w:val="21"/>
              </w:rPr>
            </w:pPr>
            <w:r w:rsidRPr="00044CAC">
              <w:rPr>
                <w:rFonts w:asciiTheme="minorEastAsia" w:hAnsiTheme="minorEastAsia"/>
                <w:b/>
                <w:bCs/>
                <w:color w:val="000000" w:themeColor="text1"/>
                <w:sz w:val="21"/>
                <w:szCs w:val="21"/>
              </w:rPr>
              <w:t>技术提供单位</w:t>
            </w:r>
          </w:p>
        </w:tc>
        <w:tc>
          <w:tcPr>
            <w:tcW w:w="2035" w:type="dxa"/>
            <w:vAlign w:val="center"/>
          </w:tcPr>
          <w:p w:rsidR="00C50C63" w:rsidRPr="00044CAC" w:rsidRDefault="00C50C63" w:rsidP="00044CAC">
            <w:pPr>
              <w:widowControl/>
              <w:spacing w:line="380" w:lineRule="exact"/>
              <w:jc w:val="center"/>
              <w:rPr>
                <w:rFonts w:asciiTheme="minorEastAsia" w:hAnsiTheme="minorEastAsia"/>
                <w:b/>
                <w:bCs/>
                <w:color w:val="000000" w:themeColor="text1"/>
                <w:sz w:val="21"/>
                <w:szCs w:val="21"/>
              </w:rPr>
            </w:pPr>
            <w:r w:rsidRPr="00044CAC">
              <w:rPr>
                <w:rFonts w:asciiTheme="minorEastAsia" w:hAnsiTheme="minorEastAsia"/>
                <w:b/>
                <w:bCs/>
                <w:color w:val="000000" w:themeColor="text1"/>
                <w:sz w:val="21"/>
                <w:szCs w:val="21"/>
              </w:rPr>
              <w:t>适用范围</w:t>
            </w:r>
          </w:p>
        </w:tc>
        <w:tc>
          <w:tcPr>
            <w:tcW w:w="7545" w:type="dxa"/>
            <w:vAlign w:val="center"/>
          </w:tcPr>
          <w:p w:rsidR="00C50C63" w:rsidRPr="00044CAC" w:rsidRDefault="00C50C63" w:rsidP="00044CAC">
            <w:pPr>
              <w:widowControl/>
              <w:spacing w:line="380" w:lineRule="exact"/>
              <w:jc w:val="center"/>
              <w:rPr>
                <w:rFonts w:asciiTheme="minorEastAsia" w:hAnsiTheme="minorEastAsia"/>
                <w:b/>
                <w:bCs/>
                <w:color w:val="000000" w:themeColor="text1"/>
                <w:sz w:val="21"/>
                <w:szCs w:val="21"/>
              </w:rPr>
            </w:pPr>
            <w:r w:rsidRPr="00044CAC">
              <w:rPr>
                <w:rFonts w:asciiTheme="minorEastAsia" w:hAnsiTheme="minorEastAsia"/>
                <w:b/>
                <w:bCs/>
                <w:color w:val="000000" w:themeColor="text1"/>
                <w:sz w:val="21"/>
                <w:szCs w:val="21"/>
              </w:rPr>
              <w:t>技术简要说明</w:t>
            </w:r>
          </w:p>
        </w:tc>
      </w:tr>
      <w:tr w:rsidR="00C50C63" w:rsidRPr="00044CAC" w:rsidTr="00044CAC">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color w:val="000000" w:themeColor="text1"/>
                <w:sz w:val="21"/>
                <w:szCs w:val="21"/>
              </w:rPr>
              <w:t>1</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水环境智慧管控技术</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中水三立数据技术股份有限公司</w:t>
            </w:r>
          </w:p>
        </w:tc>
        <w:tc>
          <w:tcPr>
            <w:tcW w:w="2035"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水环境防范治理</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该技术将物联网与传统的水质在线监测系统进行跨界融合，利用收集和监测等手段获取气象、水文、水质、图片和视频等数据，对流域河段、支流及排口进行趋势预警。</w:t>
            </w:r>
            <w:bookmarkStart w:id="1" w:name="_Hlk57445688"/>
            <w:r w:rsidRPr="0038685B">
              <w:rPr>
                <w:rFonts w:asciiTheme="minorEastAsia" w:hAnsiTheme="minorEastAsia" w:hint="eastAsia"/>
                <w:color w:val="000000" w:themeColor="text1"/>
                <w:sz w:val="21"/>
                <w:szCs w:val="21"/>
              </w:rPr>
              <w:t>通过将数据挖掘、无人机、水下机器人等先进技术和人工巡河、公众监督等传统手段相结合</w:t>
            </w:r>
            <w:bookmarkEnd w:id="1"/>
            <w:r w:rsidRPr="0038685B">
              <w:rPr>
                <w:rFonts w:asciiTheme="minorEastAsia" w:hAnsiTheme="minorEastAsia" w:hint="eastAsia"/>
                <w:color w:val="000000" w:themeColor="text1"/>
                <w:sz w:val="21"/>
                <w:szCs w:val="21"/>
              </w:rPr>
              <w:t>，对流域进行污染源的排查溯源。针对排查溯源结果提出流域水环境改善的工程措施和非工程措施，并对水环境改善措施进行效果评估，达到改善流域水环境，提升水资源保护和水污染防治能力的目的。</w:t>
            </w:r>
          </w:p>
        </w:tc>
      </w:tr>
      <w:tr w:rsidR="00C50C63" w:rsidRPr="00044CAC" w:rsidTr="00044CAC">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color w:val="000000" w:themeColor="text1"/>
                <w:sz w:val="21"/>
                <w:szCs w:val="21"/>
              </w:rPr>
              <w:t>2</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水质全特征预警溯源技术</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安徽泽众安全科技有限公司；清华大学合肥公共安全研究院；北京辰安科技股份有限公司</w:t>
            </w:r>
          </w:p>
        </w:tc>
        <w:tc>
          <w:tcPr>
            <w:tcW w:w="2035"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水环境领域水质全特征监测及检测对污染性事件的及时预警及快速溯源</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针对水污染产生、传输、处理和排放整个过程，采用水质全特征分析设备构建基于“源-网-站-厂-河”的流域水污染预警溯源监测系统，结合水力水质模型、人工智能、云计算技术实现精准化水污染溯源。</w:t>
            </w:r>
          </w:p>
        </w:tc>
      </w:tr>
      <w:tr w:rsidR="00C50C63" w:rsidRPr="00044CAC" w:rsidTr="00044CAC">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color w:val="000000" w:themeColor="text1"/>
                <w:sz w:val="21"/>
                <w:szCs w:val="21"/>
              </w:rPr>
              <w:t>3</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一种利用三维荧光光谱反映城市污水厂运行状态的监测方法</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中国科学技术大学</w:t>
            </w:r>
          </w:p>
        </w:tc>
        <w:tc>
          <w:tcPr>
            <w:tcW w:w="2035" w:type="dxa"/>
            <w:vAlign w:val="center"/>
          </w:tcPr>
          <w:p w:rsidR="00C50C63" w:rsidRPr="0038685B" w:rsidRDefault="00C50C63" w:rsidP="00044CAC">
            <w:pPr>
              <w:widowControl/>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污水或废水处理，生物处理过程监控</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通过测量污水厂各个运行节点的污水样品的三维荧光光谱，利用平行因子法处理数据，将其中的光谱按组分进行划分，划分为类蛋白物质与类富里酸物质，最后根据二者在各个工段的高低关系判别污水处理过程是否正常。</w:t>
            </w:r>
          </w:p>
        </w:tc>
      </w:tr>
      <w:tr w:rsidR="00C50C63" w:rsidRPr="00044CAC" w:rsidTr="00044CAC">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color w:val="000000" w:themeColor="text1"/>
                <w:sz w:val="21"/>
                <w:szCs w:val="21"/>
              </w:rPr>
              <w:t>4</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城市污水处理厂多目标决策优化技术</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中国科学技术大学</w:t>
            </w:r>
          </w:p>
        </w:tc>
        <w:tc>
          <w:tcPr>
            <w:tcW w:w="2035" w:type="dxa"/>
            <w:vAlign w:val="center"/>
          </w:tcPr>
          <w:p w:rsidR="00C50C63" w:rsidRPr="0038685B" w:rsidRDefault="00C50C63" w:rsidP="00044CAC">
            <w:pPr>
              <w:widowControl/>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污水或废水处理领域，水质、成本等多目标优化</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根据实际情况调整并耦合数学模型，建立数据关系模型；选择遗传算法，集成智能方法、活性污泥数学模型和多目标决策系统，用于污水处理工艺运行优化方案，寻找既能保证出水水质达标又能降低运行费用的工艺条件。</w:t>
            </w:r>
          </w:p>
        </w:tc>
      </w:tr>
      <w:tr w:rsidR="00C50C63" w:rsidRPr="00044CAC" w:rsidTr="00044CAC">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color w:val="000000" w:themeColor="text1"/>
                <w:sz w:val="21"/>
                <w:szCs w:val="21"/>
              </w:rPr>
              <w:lastRenderedPageBreak/>
              <w:t>5</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低控源截污系统及构建技术</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安徽黄河水处理科技股份有限公司</w:t>
            </w:r>
          </w:p>
        </w:tc>
        <w:tc>
          <w:tcPr>
            <w:tcW w:w="2035" w:type="dxa"/>
            <w:vAlign w:val="center"/>
          </w:tcPr>
          <w:p w:rsidR="00C50C63" w:rsidRPr="0038685B" w:rsidRDefault="00C50C63" w:rsidP="00044CAC">
            <w:pPr>
              <w:widowControl/>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污染源分散，截污不完全或未截污，轻度、中度及重度污染水体的治理</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低控源截污强度下的水体，其特点为截污不彻底或未截污，低控源截污强度下水体治理技术通过科学划分特征功能区，如在河道两岸排口处设置截留净化功能区，在河道中设置有用于河道生态功能恢复的生态功能区，在河道下游设置强化净化功能区。各特征功能区应用如生态截留净化沟、雨水预处理设施等装备设施，通过统筹组合优化工艺，形成生态系统完整、功能互补的水体生态治理方法。从而净化污染，恢复、强化水体生态自净能力，构建生态系统完整、功能互补的水体生态。</w:t>
            </w:r>
          </w:p>
        </w:tc>
      </w:tr>
      <w:tr w:rsidR="00C50C63" w:rsidRPr="00044CAC" w:rsidTr="00044CAC">
        <w:trPr>
          <w:trHeight w:val="2993"/>
        </w:trPr>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6</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氮磷靶向循环利用生态修复技术（NPTC技术）</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安徽水韵环保股份有限公司</w:t>
            </w:r>
          </w:p>
        </w:tc>
        <w:tc>
          <w:tcPr>
            <w:tcW w:w="2035" w:type="dxa"/>
            <w:vAlign w:val="center"/>
          </w:tcPr>
          <w:p w:rsidR="00C50C63" w:rsidRPr="0038685B" w:rsidRDefault="00C50C63" w:rsidP="00044CAC">
            <w:pPr>
              <w:widowControl/>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农村和集镇的污水治理；农村黑臭水体的生态修复；农业面源污染</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bookmarkStart w:id="2" w:name="_Hlk57472130"/>
            <w:r w:rsidRPr="0038685B">
              <w:rPr>
                <w:rFonts w:asciiTheme="minorEastAsia" w:hAnsiTheme="minorEastAsia" w:hint="eastAsia"/>
                <w:color w:val="000000" w:themeColor="text1"/>
                <w:sz w:val="21"/>
                <w:szCs w:val="21"/>
              </w:rPr>
              <w:t>本技术首先对生活污水进行集中收集，随后在利用预处理设备将污水中的粪、大肠杆菌、蛔虫卵等有害污染物去除的同时，将污水中的氮磷等营养元素保留，最后通过与滴灌技术相结合，将保留氮磷的污水排入生产湿地中，一方面削减了水中的污染物质，同时水生动物、植物及庄稼作物也有了收成，形成了产业链（如鱼、贝、植物等）。作物吸收后的水流至自然水体，作为河流的天然补水源，</w:t>
            </w:r>
            <w:bookmarkEnd w:id="2"/>
            <w:r w:rsidRPr="0038685B">
              <w:rPr>
                <w:rFonts w:asciiTheme="minorEastAsia" w:hAnsiTheme="minorEastAsia" w:hint="eastAsia"/>
                <w:color w:val="000000" w:themeColor="text1"/>
                <w:sz w:val="21"/>
                <w:szCs w:val="21"/>
              </w:rPr>
              <w:t>结合河流生态修复常用的生物多样性修复技术，既净化了水质，又增加了农作物的收成，真正的做到“低投入、少维护、有产出、效果好”。</w:t>
            </w:r>
          </w:p>
        </w:tc>
      </w:tr>
      <w:tr w:rsidR="00C50C63" w:rsidRPr="00044CAC" w:rsidTr="00044CAC">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7</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高盐高有机物废水蒸发浓缩连续结晶取盐系统</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安徽同速环保科技有限公司</w:t>
            </w:r>
          </w:p>
        </w:tc>
        <w:tc>
          <w:tcPr>
            <w:tcW w:w="2035" w:type="dxa"/>
            <w:vAlign w:val="center"/>
          </w:tcPr>
          <w:p w:rsidR="00C50C63" w:rsidRPr="0038685B" w:rsidRDefault="00C50C63" w:rsidP="00044CAC">
            <w:pPr>
              <w:widowControl/>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农化、制药、精细化工、印染原料等行业在工业生产过程中产生的高盐高有机物工业废水（浓缩母液）的处理</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CCE 技术具有常压中低温（≤55℃）蒸发、节能高效蒸发等特点，能在高浓度条件下（包括超饱和浓度），持续对废水进行蒸发浓缩净化。TS-CCE 系统主要由氟路系统、风路系统、水路系统、电路系统构成。</w:t>
            </w:r>
          </w:p>
        </w:tc>
      </w:tr>
      <w:tr w:rsidR="00C50C63" w:rsidRPr="00044CAC" w:rsidTr="00044CAC">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lastRenderedPageBreak/>
              <w:t>8</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喷织废水循环回用处理关键技术</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安徽美自然环境科技有限公司</w:t>
            </w:r>
          </w:p>
        </w:tc>
        <w:tc>
          <w:tcPr>
            <w:tcW w:w="2035" w:type="dxa"/>
            <w:vAlign w:val="center"/>
          </w:tcPr>
          <w:p w:rsidR="00C50C63" w:rsidRPr="0038685B" w:rsidRDefault="00C50C63" w:rsidP="00044CAC">
            <w:pPr>
              <w:widowControl/>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喷织行业废水收集、处理、中水回用及深度处理补水</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废水经调节池进行水质、水量调节，随后进入气浮池前置混凝单元。混凝单元中投加聚合氯化铝（PAC），短时间反应后出水迅速排入气浮池中。废水进入气浮池后，通过气浮设备使水中产生大量的微气泡，以形成水、气及水中悬浮颗粒的三相混合体，气浮池出水进入A/O池，处理过后的废水进入二沉池进行沉淀，出水进入混凝沉淀池进一步沉淀后，流入V型滤池过滤，出水部分进入生态处理系统进行深度处理作为补给水，大部分进入清水池回用。</w:t>
            </w:r>
          </w:p>
        </w:tc>
      </w:tr>
      <w:tr w:rsidR="00C50C63" w:rsidRPr="00044CAC" w:rsidTr="00044CAC">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9</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智能模块化污水处理系统</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安徽舜禹水务股份有限公司</w:t>
            </w:r>
          </w:p>
        </w:tc>
        <w:tc>
          <w:tcPr>
            <w:tcW w:w="2035" w:type="dxa"/>
            <w:vAlign w:val="center"/>
          </w:tcPr>
          <w:p w:rsidR="00C50C63" w:rsidRPr="0038685B" w:rsidRDefault="00C50C63" w:rsidP="00044CAC">
            <w:pPr>
              <w:widowControl/>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适用于分散式农村生活污水处理</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采用AAO+AO组合工艺，系统高度集成，将生化区、高效沉淀澄清区、设备间有效融为一体，同时具备标准化、模块化、智能化特点。根据不同的进出水，选择不同的功能模块，通过鼓风曝气满足系统功能需求。</w:t>
            </w:r>
          </w:p>
        </w:tc>
      </w:tr>
      <w:tr w:rsidR="00C50C63" w:rsidRPr="00044CAC" w:rsidTr="00044CAC">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10</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农村饮用水除氟关键技术研究及产业化</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安徽元通水处理设备有限公司</w:t>
            </w:r>
          </w:p>
        </w:tc>
        <w:tc>
          <w:tcPr>
            <w:tcW w:w="2035" w:type="dxa"/>
            <w:vAlign w:val="center"/>
          </w:tcPr>
          <w:p w:rsidR="00C50C63" w:rsidRPr="0038685B" w:rsidRDefault="00C50C63" w:rsidP="00044CAC">
            <w:pPr>
              <w:widowControl/>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农村饮用水含氟量超标地区的净化处理</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采用物理膜过滤技术，将水中的离子进行选择性拦截后，再采用原水和产出水以一定  比例进行勾兑，将勾兑后的氟含量控制在符合人体饮用水卫生指标范围内，其产生的浓水 PH 为中性。</w:t>
            </w:r>
          </w:p>
        </w:tc>
      </w:tr>
      <w:tr w:rsidR="00C50C63" w:rsidRPr="00044CAC" w:rsidTr="00044CAC">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11</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QIC高浓度有机废水处理技术</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蚌埠市清泉环保有限责任公司</w:t>
            </w:r>
          </w:p>
        </w:tc>
        <w:tc>
          <w:tcPr>
            <w:tcW w:w="2035" w:type="dxa"/>
            <w:vAlign w:val="center"/>
          </w:tcPr>
          <w:p w:rsidR="00C50C63" w:rsidRPr="0038685B" w:rsidRDefault="00C50C63" w:rsidP="00044CAC">
            <w:pPr>
              <w:widowControl/>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高浓度废水处理</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通过采取在厌氧罐顶部的气、水分离器后添加了水封装置，低温时采用太阳能加热维持厌氧反应的最佳温度，厌氧反应工序后增加气浮或沉淀泥水分离措施，等多项技术创新，提高系统处理效率和稳定性，实现无动力内循环高效处理。</w:t>
            </w:r>
          </w:p>
        </w:tc>
      </w:tr>
      <w:tr w:rsidR="00C50C63" w:rsidRPr="00044CAC" w:rsidTr="00044CAC">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12</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ZHS农村污水高效净化技术</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蚌埠市清泉环保有限责任公司</w:t>
            </w:r>
          </w:p>
        </w:tc>
        <w:tc>
          <w:tcPr>
            <w:tcW w:w="2035" w:type="dxa"/>
            <w:vAlign w:val="center"/>
          </w:tcPr>
          <w:p w:rsidR="00C50C63" w:rsidRPr="0038685B" w:rsidRDefault="00C50C63" w:rsidP="00044CAC">
            <w:pPr>
              <w:widowControl/>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环保行业农村污水处理领域</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ZHS农村污水高效净化技术是由预处理、调解、生化、沉淀、脱磷脱氮、消毒、太阳能自动加热与远程监控系统组成的一体化集成技术。该技术以生化反应为基础，将预处理、生化、沉淀、消毒、污泥回流、自动监测与控制等多个功能系统有机结合。在设备外部安装太阳能加热系统，通过自动传输系统监测的温度，可以为系统持续自动加热至系统正常运行温度，有效保证系统内部运行的稳定性，实现了农村污水中污染物在有限空间的高效降解。</w:t>
            </w:r>
          </w:p>
        </w:tc>
      </w:tr>
      <w:tr w:rsidR="00C50C63" w:rsidRPr="00044CAC" w:rsidTr="00044CAC">
        <w:trPr>
          <w:trHeight w:val="1836"/>
        </w:trPr>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color w:val="000000" w:themeColor="text1"/>
                <w:sz w:val="21"/>
                <w:szCs w:val="21"/>
              </w:rPr>
              <w:lastRenderedPageBreak/>
              <w:t>1</w:t>
            </w:r>
            <w:r w:rsidRPr="0038685B">
              <w:rPr>
                <w:rFonts w:asciiTheme="minorEastAsia" w:hAnsiTheme="minorEastAsia" w:hint="eastAsia"/>
                <w:color w:val="000000" w:themeColor="text1"/>
                <w:sz w:val="21"/>
                <w:szCs w:val="21"/>
              </w:rPr>
              <w:t>3</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氧化沟工艺高标准处理城镇污水及节能降耗集成技术</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安徽国祯环保节能科技股份有限公司</w:t>
            </w:r>
          </w:p>
        </w:tc>
        <w:tc>
          <w:tcPr>
            <w:tcW w:w="2035" w:type="dxa"/>
            <w:vAlign w:val="center"/>
          </w:tcPr>
          <w:p w:rsidR="00C50C63" w:rsidRPr="0038685B" w:rsidRDefault="00C50C63" w:rsidP="00044CAC">
            <w:pPr>
              <w:widowControl/>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高排放标准要求下的新建和原有氧化沟工艺污水处理厂的提标改造</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研发并集成了倒伞曝气机高效低耗曝气技术及软件、跌水充氧消除技术、低碳源投加深度脱氮技术、强化生物除磷和化学除磷技术、深度处理单元精确控制技术等关键技术，污水处理厂出水达到了地表水</w:t>
            </w:r>
            <w:r w:rsidRPr="0038685B">
              <w:rPr>
                <w:rFonts w:asciiTheme="minorEastAsia" w:hAnsiTheme="minorEastAsia"/>
                <w:color w:val="000000" w:themeColor="text1"/>
                <w:sz w:val="21"/>
                <w:szCs w:val="21"/>
              </w:rPr>
              <w:t>IV</w:t>
            </w:r>
            <w:r w:rsidRPr="0038685B">
              <w:rPr>
                <w:rFonts w:asciiTheme="minorEastAsia" w:hAnsiTheme="minorEastAsia" w:hint="eastAsia"/>
                <w:color w:val="000000" w:themeColor="text1"/>
                <w:sz w:val="21"/>
                <w:szCs w:val="21"/>
              </w:rPr>
              <w:t>类标准（</w:t>
            </w:r>
            <w:r w:rsidRPr="0038685B">
              <w:rPr>
                <w:rFonts w:asciiTheme="minorEastAsia" w:hAnsiTheme="minorEastAsia"/>
                <w:color w:val="000000" w:themeColor="text1"/>
                <w:sz w:val="21"/>
                <w:szCs w:val="21"/>
              </w:rPr>
              <w:t>DB34/2710-2016</w:t>
            </w:r>
            <w:r w:rsidRPr="0038685B">
              <w:rPr>
                <w:rFonts w:asciiTheme="minorEastAsia" w:hAnsiTheme="minorEastAsia" w:hint="eastAsia"/>
                <w:color w:val="000000" w:themeColor="text1"/>
                <w:sz w:val="21"/>
                <w:szCs w:val="21"/>
              </w:rPr>
              <w:t>），并实现了节能降耗。</w:t>
            </w:r>
          </w:p>
        </w:tc>
      </w:tr>
      <w:tr w:rsidR="00C50C63" w:rsidRPr="00044CAC" w:rsidTr="00044CAC">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14</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村镇高效脱氮除磷一体化设备及技术</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安徽国祯环保节能科技股份有限公司</w:t>
            </w:r>
          </w:p>
        </w:tc>
        <w:tc>
          <w:tcPr>
            <w:tcW w:w="2035" w:type="dxa"/>
            <w:vAlign w:val="center"/>
          </w:tcPr>
          <w:p w:rsidR="00C50C63" w:rsidRPr="0038685B" w:rsidRDefault="00C50C63" w:rsidP="00044CAC">
            <w:pPr>
              <w:widowControl/>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适用于村镇生活污水、高速服务区污水、医疗废水等小规模的一体化污水处理厂站与工程</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研发设备使用改进型</w:t>
            </w:r>
            <w:r w:rsidRPr="0038685B">
              <w:rPr>
                <w:rFonts w:asciiTheme="minorEastAsia" w:hAnsiTheme="minorEastAsia"/>
                <w:color w:val="000000" w:themeColor="text1"/>
                <w:sz w:val="21"/>
                <w:szCs w:val="21"/>
              </w:rPr>
              <w:t>UTC</w:t>
            </w:r>
            <w:r w:rsidRPr="0038685B">
              <w:rPr>
                <w:rFonts w:asciiTheme="minorEastAsia" w:hAnsiTheme="minorEastAsia" w:hint="eastAsia"/>
                <w:color w:val="000000" w:themeColor="text1"/>
                <w:sz w:val="21"/>
                <w:szCs w:val="21"/>
              </w:rPr>
              <w:t>与平板膜</w:t>
            </w:r>
            <w:r w:rsidRPr="0038685B">
              <w:rPr>
                <w:rFonts w:asciiTheme="minorEastAsia" w:hAnsiTheme="minorEastAsia"/>
                <w:color w:val="000000" w:themeColor="text1"/>
                <w:sz w:val="21"/>
                <w:szCs w:val="21"/>
              </w:rPr>
              <w:t>MBR</w:t>
            </w:r>
            <w:r w:rsidRPr="0038685B">
              <w:rPr>
                <w:rFonts w:asciiTheme="minorEastAsia" w:hAnsiTheme="minorEastAsia" w:hint="eastAsia"/>
                <w:color w:val="000000" w:themeColor="text1"/>
                <w:sz w:val="21"/>
                <w:szCs w:val="21"/>
              </w:rPr>
              <w:t>联合工艺处理生活污水，同时结合了</w:t>
            </w:r>
            <w:r w:rsidRPr="0038685B">
              <w:rPr>
                <w:rFonts w:asciiTheme="minorEastAsia" w:hAnsiTheme="minorEastAsia"/>
                <w:color w:val="000000" w:themeColor="text1"/>
                <w:sz w:val="21"/>
                <w:szCs w:val="21"/>
              </w:rPr>
              <w:t>Biovac</w:t>
            </w:r>
            <w:r w:rsidRPr="0038685B">
              <w:rPr>
                <w:rFonts w:asciiTheme="minorEastAsia" w:hAnsiTheme="minorEastAsia" w:hint="eastAsia"/>
                <w:color w:val="000000" w:themeColor="text1"/>
                <w:sz w:val="21"/>
                <w:szCs w:val="21"/>
              </w:rPr>
              <w:t>活性污泥控制技术，强化了</w:t>
            </w:r>
            <w:r w:rsidRPr="0038685B">
              <w:rPr>
                <w:rFonts w:asciiTheme="minorEastAsia" w:hAnsiTheme="minorEastAsia"/>
                <w:color w:val="000000" w:themeColor="text1"/>
                <w:sz w:val="21"/>
                <w:szCs w:val="21"/>
              </w:rPr>
              <w:t>MBR</w:t>
            </w:r>
            <w:r w:rsidRPr="0038685B">
              <w:rPr>
                <w:rFonts w:asciiTheme="minorEastAsia" w:hAnsiTheme="minorEastAsia" w:hint="eastAsia"/>
                <w:color w:val="000000" w:themeColor="text1"/>
                <w:sz w:val="21"/>
                <w:szCs w:val="21"/>
              </w:rPr>
              <w:t>工艺活性污泥法处理的脱氮除磷效果，并针对村镇的水质水量、冲击的高低负荷都具有良好的适应性，出水能够稳定达到</w:t>
            </w:r>
            <w:r w:rsidRPr="0038685B">
              <w:rPr>
                <w:rFonts w:asciiTheme="minorEastAsia" w:hAnsiTheme="minorEastAsia"/>
                <w:color w:val="000000" w:themeColor="text1"/>
                <w:sz w:val="21"/>
                <w:szCs w:val="21"/>
              </w:rPr>
              <w:t>GB 18918-2002</w:t>
            </w:r>
            <w:r w:rsidRPr="0038685B">
              <w:rPr>
                <w:rFonts w:asciiTheme="minorEastAsia" w:hAnsiTheme="minorEastAsia" w:hint="eastAsia"/>
                <w:color w:val="000000" w:themeColor="text1"/>
                <w:sz w:val="21"/>
                <w:szCs w:val="21"/>
              </w:rPr>
              <w:t>一级</w:t>
            </w:r>
            <w:r w:rsidRPr="0038685B">
              <w:rPr>
                <w:rFonts w:asciiTheme="minorEastAsia" w:hAnsiTheme="minorEastAsia"/>
                <w:color w:val="000000" w:themeColor="text1"/>
                <w:sz w:val="21"/>
                <w:szCs w:val="21"/>
              </w:rPr>
              <w:t>A</w:t>
            </w:r>
            <w:r w:rsidRPr="0038685B">
              <w:rPr>
                <w:rFonts w:asciiTheme="minorEastAsia" w:hAnsiTheme="minorEastAsia" w:hint="eastAsia"/>
                <w:color w:val="000000" w:themeColor="text1"/>
                <w:sz w:val="21"/>
                <w:szCs w:val="21"/>
              </w:rPr>
              <w:t>标准。</w:t>
            </w:r>
          </w:p>
        </w:tc>
      </w:tr>
      <w:tr w:rsidR="00C50C63" w:rsidRPr="00044CAC" w:rsidTr="00044CAC">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15</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藻</w:t>
            </w:r>
            <w:r w:rsidRPr="0038685B">
              <w:rPr>
                <w:rFonts w:asciiTheme="minorEastAsia" w:hAnsiTheme="minorEastAsia"/>
                <w:color w:val="000000" w:themeColor="text1"/>
                <w:sz w:val="21"/>
                <w:szCs w:val="21"/>
              </w:rPr>
              <w:t>/</w:t>
            </w:r>
            <w:r w:rsidRPr="0038685B">
              <w:rPr>
                <w:rFonts w:asciiTheme="minorEastAsia" w:hAnsiTheme="minorEastAsia" w:hint="eastAsia"/>
                <w:color w:val="000000" w:themeColor="text1"/>
                <w:sz w:val="21"/>
                <w:szCs w:val="21"/>
              </w:rPr>
              <w:t>水在线分离磁捕技术</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中国科学院合肥物质科学研究院、安徽雷克环境科技有限公司</w:t>
            </w:r>
          </w:p>
        </w:tc>
        <w:tc>
          <w:tcPr>
            <w:tcW w:w="2035" w:type="dxa"/>
            <w:vAlign w:val="center"/>
          </w:tcPr>
          <w:p w:rsidR="00C50C63" w:rsidRPr="0038685B" w:rsidRDefault="00C50C63" w:rsidP="00044CAC">
            <w:pPr>
              <w:widowControl/>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具一定面积敞开水面、水深不低于</w:t>
            </w:r>
            <w:r w:rsidRPr="0038685B">
              <w:rPr>
                <w:rFonts w:asciiTheme="minorEastAsia" w:hAnsiTheme="minorEastAsia"/>
                <w:color w:val="000000" w:themeColor="text1"/>
                <w:sz w:val="21"/>
                <w:szCs w:val="21"/>
              </w:rPr>
              <w:t>1.2m</w:t>
            </w:r>
            <w:r w:rsidRPr="0038685B">
              <w:rPr>
                <w:rFonts w:asciiTheme="minorEastAsia" w:hAnsiTheme="minorEastAsia" w:hint="eastAsia"/>
                <w:color w:val="000000" w:themeColor="text1"/>
                <w:sz w:val="21"/>
                <w:szCs w:val="21"/>
              </w:rPr>
              <w:t>的各类水体中浮游藻类等富营养化物质的工程化、规模化打捞移除</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磁性微网结构材料将水中污染物絮凝后，外磁场吸引捕获并移出磁性絮体，实现藻</w:t>
            </w:r>
            <w:r w:rsidRPr="0038685B">
              <w:rPr>
                <w:rFonts w:asciiTheme="minorEastAsia" w:hAnsiTheme="minorEastAsia"/>
                <w:color w:val="000000" w:themeColor="text1"/>
                <w:sz w:val="21"/>
                <w:szCs w:val="21"/>
              </w:rPr>
              <w:t>/</w:t>
            </w:r>
            <w:r w:rsidRPr="0038685B">
              <w:rPr>
                <w:rFonts w:asciiTheme="minorEastAsia" w:hAnsiTheme="minorEastAsia" w:hint="eastAsia"/>
                <w:color w:val="000000" w:themeColor="text1"/>
                <w:sz w:val="21"/>
                <w:szCs w:val="21"/>
              </w:rPr>
              <w:t>水快速、连续分离。除藻速度快、效率高；移动式装备处理量大，机动灵活；出水水质优；磁种循环利用；建设投资低。</w:t>
            </w:r>
          </w:p>
        </w:tc>
      </w:tr>
      <w:tr w:rsidR="00C50C63" w:rsidRPr="00044CAC" w:rsidTr="00044CAC">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16</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基于底泥洗脱的水体内源治理暨生态修复技术</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中国科学院合肥物质科学研究院、安徽雷克环境科技有限公司</w:t>
            </w:r>
          </w:p>
        </w:tc>
        <w:tc>
          <w:tcPr>
            <w:tcW w:w="2035" w:type="dxa"/>
            <w:vAlign w:val="center"/>
          </w:tcPr>
          <w:p w:rsidR="00C50C63" w:rsidRPr="0038685B" w:rsidRDefault="00C50C63" w:rsidP="00044CAC">
            <w:pPr>
              <w:widowControl/>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适用于各类地表浅水型（水深</w:t>
            </w:r>
            <w:r w:rsidRPr="0038685B">
              <w:rPr>
                <w:rFonts w:asciiTheme="minorEastAsia" w:hAnsiTheme="minorEastAsia"/>
                <w:color w:val="000000" w:themeColor="text1"/>
                <w:sz w:val="21"/>
                <w:szCs w:val="21"/>
              </w:rPr>
              <w:t>&lt; 2m</w:t>
            </w:r>
            <w:r w:rsidRPr="0038685B">
              <w:rPr>
                <w:rFonts w:asciiTheme="minorEastAsia" w:hAnsiTheme="minorEastAsia" w:hint="eastAsia"/>
                <w:color w:val="000000" w:themeColor="text1"/>
                <w:sz w:val="21"/>
                <w:szCs w:val="21"/>
              </w:rPr>
              <w:t>）富营养化（含黑臭）水体的内源污染治理和生态修复</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机械或射流驱动产生湍流洗刷泥面分散沉积颗粒物，转移悬浮颗粒，提高水体透明度，生态自然修复。封闭运行，生态扰动小；快速削减底泥污染物，改善底泥生境，澄清水体，促进水下森林自然恢复。关键设备：底泥洗脱机。</w:t>
            </w:r>
          </w:p>
        </w:tc>
      </w:tr>
      <w:tr w:rsidR="00C50C63" w:rsidRPr="00044CAC" w:rsidTr="00044CAC">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lastRenderedPageBreak/>
              <w:t>17</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精对苯二甲酸</w:t>
            </w:r>
            <w:r w:rsidRPr="0038685B">
              <w:rPr>
                <w:rFonts w:asciiTheme="minorEastAsia" w:hAnsiTheme="minorEastAsia"/>
                <w:color w:val="000000" w:themeColor="text1"/>
                <w:sz w:val="21"/>
                <w:szCs w:val="21"/>
              </w:rPr>
              <w:t>(PTA)</w:t>
            </w:r>
            <w:r w:rsidRPr="0038685B">
              <w:rPr>
                <w:rFonts w:asciiTheme="minorEastAsia" w:hAnsiTheme="minorEastAsia" w:hint="eastAsia"/>
                <w:color w:val="000000" w:themeColor="text1"/>
                <w:sz w:val="21"/>
                <w:szCs w:val="21"/>
              </w:rPr>
              <w:t>废水达标处理技术</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东华工程科技股份有限贵公司</w:t>
            </w:r>
          </w:p>
        </w:tc>
        <w:tc>
          <w:tcPr>
            <w:tcW w:w="2035" w:type="dxa"/>
            <w:vAlign w:val="center"/>
          </w:tcPr>
          <w:p w:rsidR="00C50C63" w:rsidRPr="0038685B" w:rsidRDefault="00C50C63" w:rsidP="00044CAC">
            <w:pPr>
              <w:widowControl/>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主要用于精对苯二甲酸</w:t>
            </w:r>
            <w:r w:rsidRPr="0038685B">
              <w:rPr>
                <w:rFonts w:asciiTheme="minorEastAsia" w:hAnsiTheme="minorEastAsia"/>
                <w:color w:val="000000" w:themeColor="text1"/>
                <w:sz w:val="21"/>
                <w:szCs w:val="21"/>
              </w:rPr>
              <w:t>(PTA)</w:t>
            </w:r>
            <w:r w:rsidRPr="0038685B">
              <w:rPr>
                <w:rFonts w:asciiTheme="minorEastAsia" w:hAnsiTheme="minorEastAsia" w:hint="eastAsia"/>
                <w:color w:val="000000" w:themeColor="text1"/>
                <w:sz w:val="21"/>
                <w:szCs w:val="21"/>
              </w:rPr>
              <w:t>废水达标排放处理</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针对</w:t>
            </w:r>
            <w:r w:rsidRPr="0038685B">
              <w:rPr>
                <w:rFonts w:asciiTheme="minorEastAsia" w:hAnsiTheme="minorEastAsia"/>
                <w:color w:val="000000" w:themeColor="text1"/>
                <w:sz w:val="21"/>
                <w:szCs w:val="21"/>
              </w:rPr>
              <w:t>PTA</w:t>
            </w:r>
            <w:r w:rsidRPr="0038685B">
              <w:rPr>
                <w:rFonts w:asciiTheme="minorEastAsia" w:hAnsiTheme="minorEastAsia" w:hint="eastAsia"/>
                <w:color w:val="000000" w:themeColor="text1"/>
                <w:sz w:val="21"/>
                <w:szCs w:val="21"/>
              </w:rPr>
              <w:t>废水水质水量特点，采用预处理（换热器</w:t>
            </w:r>
            <w:r w:rsidRPr="0038685B">
              <w:rPr>
                <w:rFonts w:asciiTheme="minorEastAsia" w:hAnsiTheme="minorEastAsia"/>
                <w:color w:val="000000" w:themeColor="text1"/>
                <w:sz w:val="21"/>
                <w:szCs w:val="21"/>
              </w:rPr>
              <w:t>+TA</w:t>
            </w:r>
            <w:r w:rsidRPr="0038685B">
              <w:rPr>
                <w:rFonts w:asciiTheme="minorEastAsia" w:hAnsiTheme="minorEastAsia" w:hint="eastAsia"/>
                <w:color w:val="000000" w:themeColor="text1"/>
                <w:sz w:val="21"/>
                <w:szCs w:val="21"/>
              </w:rPr>
              <w:t>酸沉池</w:t>
            </w:r>
            <w:r w:rsidRPr="0038685B">
              <w:rPr>
                <w:rFonts w:asciiTheme="minorEastAsia" w:hAnsiTheme="minorEastAsia"/>
                <w:color w:val="000000" w:themeColor="text1"/>
                <w:sz w:val="21"/>
                <w:szCs w:val="21"/>
              </w:rPr>
              <w:t>+</w:t>
            </w:r>
            <w:r w:rsidRPr="0038685B">
              <w:rPr>
                <w:rFonts w:asciiTheme="minorEastAsia" w:hAnsiTheme="minorEastAsia" w:hint="eastAsia"/>
                <w:color w:val="000000" w:themeColor="text1"/>
                <w:sz w:val="21"/>
                <w:szCs w:val="21"/>
              </w:rPr>
              <w:t>匀质调节罐）</w:t>
            </w:r>
            <w:r w:rsidRPr="0038685B">
              <w:rPr>
                <w:rFonts w:asciiTheme="minorEastAsia" w:hAnsiTheme="minorEastAsia"/>
                <w:color w:val="000000" w:themeColor="text1"/>
                <w:sz w:val="21"/>
                <w:szCs w:val="21"/>
              </w:rPr>
              <w:t>+</w:t>
            </w:r>
            <w:r w:rsidRPr="0038685B">
              <w:rPr>
                <w:rFonts w:asciiTheme="minorEastAsia" w:hAnsiTheme="minorEastAsia" w:hint="eastAsia"/>
                <w:color w:val="000000" w:themeColor="text1"/>
                <w:sz w:val="21"/>
                <w:szCs w:val="21"/>
              </w:rPr>
              <w:t>生化处理（厌氧处理系统</w:t>
            </w:r>
            <w:r w:rsidRPr="0038685B">
              <w:rPr>
                <w:rFonts w:asciiTheme="minorEastAsia" w:hAnsiTheme="minorEastAsia"/>
                <w:color w:val="000000" w:themeColor="text1"/>
                <w:sz w:val="21"/>
                <w:szCs w:val="21"/>
              </w:rPr>
              <w:t>+</w:t>
            </w:r>
            <w:r w:rsidRPr="0038685B">
              <w:rPr>
                <w:rFonts w:asciiTheme="minorEastAsia" w:hAnsiTheme="minorEastAsia" w:hint="eastAsia"/>
                <w:color w:val="000000" w:themeColor="text1"/>
                <w:sz w:val="21"/>
                <w:szCs w:val="21"/>
              </w:rPr>
              <w:t>好氧处理系统</w:t>
            </w:r>
            <w:r w:rsidRPr="0038685B">
              <w:rPr>
                <w:rFonts w:asciiTheme="minorEastAsia" w:hAnsiTheme="minorEastAsia"/>
                <w:color w:val="000000" w:themeColor="text1"/>
                <w:sz w:val="21"/>
                <w:szCs w:val="21"/>
              </w:rPr>
              <w:t>+</w:t>
            </w:r>
            <w:r w:rsidRPr="0038685B">
              <w:rPr>
                <w:rFonts w:asciiTheme="minorEastAsia" w:hAnsiTheme="minorEastAsia" w:hint="eastAsia"/>
                <w:color w:val="000000" w:themeColor="text1"/>
                <w:sz w:val="21"/>
                <w:szCs w:val="21"/>
              </w:rPr>
              <w:t>二级</w:t>
            </w:r>
            <w:r w:rsidRPr="0038685B">
              <w:rPr>
                <w:rFonts w:asciiTheme="minorEastAsia" w:hAnsiTheme="minorEastAsia"/>
                <w:color w:val="000000" w:themeColor="text1"/>
                <w:sz w:val="21"/>
                <w:szCs w:val="21"/>
              </w:rPr>
              <w:t>A/O</w:t>
            </w:r>
            <w:r w:rsidRPr="0038685B">
              <w:rPr>
                <w:rFonts w:asciiTheme="minorEastAsia" w:hAnsiTheme="minorEastAsia" w:hint="eastAsia"/>
                <w:color w:val="000000" w:themeColor="text1"/>
                <w:sz w:val="21"/>
                <w:szCs w:val="21"/>
              </w:rPr>
              <w:t>处理系统）</w:t>
            </w:r>
            <w:r w:rsidRPr="0038685B">
              <w:rPr>
                <w:rFonts w:asciiTheme="minorEastAsia" w:hAnsiTheme="minorEastAsia"/>
                <w:color w:val="000000" w:themeColor="text1"/>
                <w:sz w:val="21"/>
                <w:szCs w:val="21"/>
              </w:rPr>
              <w:t>+</w:t>
            </w:r>
            <w:r w:rsidRPr="0038685B">
              <w:rPr>
                <w:rFonts w:asciiTheme="minorEastAsia" w:hAnsiTheme="minorEastAsia" w:hint="eastAsia"/>
                <w:color w:val="000000" w:themeColor="text1"/>
                <w:sz w:val="21"/>
                <w:szCs w:val="21"/>
              </w:rPr>
              <w:t>深度处理（絮凝沉淀</w:t>
            </w:r>
            <w:r w:rsidRPr="0038685B">
              <w:rPr>
                <w:rFonts w:asciiTheme="minorEastAsia" w:hAnsiTheme="minorEastAsia"/>
                <w:color w:val="000000" w:themeColor="text1"/>
                <w:sz w:val="21"/>
                <w:szCs w:val="21"/>
              </w:rPr>
              <w:t>+</w:t>
            </w:r>
            <w:r w:rsidRPr="0038685B">
              <w:rPr>
                <w:rFonts w:asciiTheme="minorEastAsia" w:hAnsiTheme="minorEastAsia" w:hint="eastAsia"/>
                <w:color w:val="000000" w:themeColor="text1"/>
                <w:sz w:val="21"/>
                <w:szCs w:val="21"/>
              </w:rPr>
              <w:t>臭氧高级氧化</w:t>
            </w:r>
            <w:r w:rsidRPr="0038685B">
              <w:rPr>
                <w:rFonts w:asciiTheme="minorEastAsia" w:hAnsiTheme="minorEastAsia"/>
                <w:color w:val="000000" w:themeColor="text1"/>
                <w:sz w:val="21"/>
                <w:szCs w:val="21"/>
              </w:rPr>
              <w:t>+</w:t>
            </w:r>
            <w:r w:rsidRPr="0038685B">
              <w:rPr>
                <w:rFonts w:asciiTheme="minorEastAsia" w:hAnsiTheme="minorEastAsia" w:hint="eastAsia"/>
                <w:color w:val="000000" w:themeColor="text1"/>
                <w:sz w:val="21"/>
                <w:szCs w:val="21"/>
              </w:rPr>
              <w:t>曝气生物滤池</w:t>
            </w:r>
            <w:r w:rsidRPr="0038685B">
              <w:rPr>
                <w:rFonts w:asciiTheme="minorEastAsia" w:hAnsiTheme="minorEastAsia"/>
                <w:color w:val="000000" w:themeColor="text1"/>
                <w:sz w:val="21"/>
                <w:szCs w:val="21"/>
              </w:rPr>
              <w:t>(BAF)+</w:t>
            </w:r>
            <w:r w:rsidRPr="0038685B">
              <w:rPr>
                <w:rFonts w:asciiTheme="minorEastAsia" w:hAnsiTheme="minorEastAsia" w:hint="eastAsia"/>
                <w:color w:val="000000" w:themeColor="text1"/>
                <w:sz w:val="21"/>
                <w:szCs w:val="21"/>
              </w:rPr>
              <w:t>锰砂滤池）工艺，保证废水稳定达标排放（一级</w:t>
            </w:r>
            <w:r w:rsidRPr="0038685B">
              <w:rPr>
                <w:rFonts w:asciiTheme="minorEastAsia" w:hAnsiTheme="minorEastAsia"/>
                <w:color w:val="000000" w:themeColor="text1"/>
                <w:sz w:val="21"/>
                <w:szCs w:val="21"/>
              </w:rPr>
              <w:t>A</w:t>
            </w:r>
            <w:r w:rsidRPr="0038685B">
              <w:rPr>
                <w:rFonts w:asciiTheme="minorEastAsia" w:hAnsiTheme="minorEastAsia" w:hint="eastAsia"/>
                <w:color w:val="000000" w:themeColor="text1"/>
                <w:sz w:val="21"/>
                <w:szCs w:val="21"/>
              </w:rPr>
              <w:t>标准）。</w:t>
            </w:r>
          </w:p>
        </w:tc>
      </w:tr>
      <w:tr w:rsidR="00C50C63" w:rsidRPr="00044CAC" w:rsidTr="00044CAC">
        <w:tc>
          <w:tcPr>
            <w:tcW w:w="817" w:type="dxa"/>
            <w:vAlign w:val="center"/>
          </w:tcPr>
          <w:p w:rsidR="00C50C63" w:rsidRPr="0038685B" w:rsidRDefault="00C50C63" w:rsidP="00044CAC">
            <w:pPr>
              <w:widowControl/>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18</w:t>
            </w:r>
          </w:p>
        </w:tc>
        <w:tc>
          <w:tcPr>
            <w:tcW w:w="1874"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铝加工行业煲模废浓碱水资源化回用系统技术</w:t>
            </w:r>
          </w:p>
        </w:tc>
        <w:tc>
          <w:tcPr>
            <w:tcW w:w="1903" w:type="dxa"/>
            <w:vAlign w:val="center"/>
          </w:tcPr>
          <w:p w:rsidR="00C50C63" w:rsidRPr="0038685B" w:rsidRDefault="00C50C63" w:rsidP="00044CAC">
            <w:pPr>
              <w:spacing w:line="380" w:lineRule="exact"/>
              <w:jc w:val="center"/>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马鞍山中创环保科技有限公司</w:t>
            </w:r>
          </w:p>
        </w:tc>
        <w:tc>
          <w:tcPr>
            <w:tcW w:w="2035" w:type="dxa"/>
            <w:vAlign w:val="center"/>
          </w:tcPr>
          <w:p w:rsidR="00C50C63" w:rsidRPr="0038685B" w:rsidRDefault="00C50C63" w:rsidP="00044CAC">
            <w:pPr>
              <w:widowControl/>
              <w:spacing w:line="380" w:lineRule="exact"/>
              <w:jc w:val="left"/>
              <w:rPr>
                <w:rFonts w:asciiTheme="minorEastAsia" w:hAnsiTheme="minorEastAsia"/>
                <w:color w:val="000000" w:themeColor="text1"/>
                <w:sz w:val="21"/>
                <w:szCs w:val="21"/>
              </w:rPr>
            </w:pPr>
            <w:r w:rsidRPr="0038685B">
              <w:rPr>
                <w:rFonts w:asciiTheme="minorEastAsia" w:hAnsiTheme="minorEastAsia" w:hint="eastAsia"/>
                <w:color w:val="000000" w:themeColor="text1"/>
                <w:sz w:val="21"/>
                <w:szCs w:val="21"/>
              </w:rPr>
              <w:t>铝挤压行业浓碱水治理及回用</w:t>
            </w:r>
          </w:p>
        </w:tc>
        <w:tc>
          <w:tcPr>
            <w:tcW w:w="7545" w:type="dxa"/>
            <w:vAlign w:val="center"/>
          </w:tcPr>
          <w:p w:rsidR="00C50C63" w:rsidRPr="0038685B" w:rsidRDefault="00C50C63" w:rsidP="00044CAC">
            <w:pPr>
              <w:spacing w:line="380" w:lineRule="exact"/>
              <w:jc w:val="left"/>
              <w:rPr>
                <w:rFonts w:asciiTheme="minorEastAsia" w:hAnsiTheme="minorEastAsia"/>
                <w:color w:val="000000" w:themeColor="text1"/>
                <w:sz w:val="21"/>
                <w:szCs w:val="21"/>
              </w:rPr>
            </w:pPr>
            <w:r w:rsidRPr="0038685B">
              <w:rPr>
                <w:rFonts w:asciiTheme="minorEastAsia" w:hAnsiTheme="minorEastAsia"/>
                <w:color w:val="000000" w:themeColor="text1"/>
                <w:sz w:val="21"/>
                <w:szCs w:val="21"/>
              </w:rPr>
              <w:t>AlO</w:t>
            </w:r>
            <w:r w:rsidRPr="0038685B">
              <w:rPr>
                <w:rFonts w:asciiTheme="minorEastAsia" w:hAnsiTheme="minorEastAsia"/>
                <w:color w:val="000000" w:themeColor="text1"/>
                <w:sz w:val="21"/>
                <w:szCs w:val="21"/>
                <w:vertAlign w:val="subscript"/>
              </w:rPr>
              <w:t>2</w:t>
            </w:r>
            <w:r w:rsidRPr="0038685B">
              <w:rPr>
                <w:rFonts w:asciiTheme="minorEastAsia" w:hAnsiTheme="minorEastAsia"/>
                <w:color w:val="000000" w:themeColor="text1"/>
                <w:sz w:val="21"/>
                <w:szCs w:val="21"/>
                <w:vertAlign w:val="superscript"/>
              </w:rPr>
              <w:t>-</w:t>
            </w:r>
            <w:r w:rsidRPr="0038685B">
              <w:rPr>
                <w:rFonts w:asciiTheme="minorEastAsia" w:hAnsiTheme="minorEastAsia" w:hint="eastAsia"/>
                <w:color w:val="000000" w:themeColor="text1"/>
                <w:sz w:val="21"/>
                <w:szCs w:val="21"/>
              </w:rPr>
              <w:t>处理用吸附剂为层状结构的硅铝酸盐基材复合药剂，表面含有大量羟基，对偏铝酸根离子进行物理吸附、化学吸附以及发生化学反应，通过多重作用及高效搅拌资源化回收设备的处理，能够实现对偏铝酸根离子的高效吸附，吸附量达到</w:t>
            </w:r>
            <w:r w:rsidRPr="0038685B">
              <w:rPr>
                <w:rFonts w:asciiTheme="minorEastAsia" w:hAnsiTheme="minorEastAsia"/>
                <w:color w:val="000000" w:themeColor="text1"/>
                <w:sz w:val="21"/>
                <w:szCs w:val="21"/>
              </w:rPr>
              <w:t>93.5mg/g</w:t>
            </w:r>
            <w:r w:rsidRPr="0038685B">
              <w:rPr>
                <w:rFonts w:asciiTheme="minorEastAsia" w:hAnsiTheme="minorEastAsia" w:hint="eastAsia"/>
                <w:color w:val="000000" w:themeColor="text1"/>
                <w:sz w:val="21"/>
                <w:szCs w:val="21"/>
              </w:rPr>
              <w:t>，并且在偏铝酸根离子被吸附后，废水中剩下的氢氧化钠能够再次进行重复使用，无需硫酸中和排放，节省成本，且实现废水零排放。与技术相应的浓碱水回收循环一体化设备，除铝率达</w:t>
            </w:r>
            <w:r w:rsidRPr="0038685B">
              <w:rPr>
                <w:rFonts w:asciiTheme="minorEastAsia" w:hAnsiTheme="minorEastAsia"/>
                <w:color w:val="000000" w:themeColor="text1"/>
                <w:sz w:val="21"/>
                <w:szCs w:val="21"/>
              </w:rPr>
              <w:t>95%</w:t>
            </w:r>
            <w:r w:rsidRPr="0038685B">
              <w:rPr>
                <w:rFonts w:asciiTheme="minorEastAsia" w:hAnsiTheme="minorEastAsia" w:hint="eastAsia"/>
                <w:color w:val="000000" w:themeColor="text1"/>
                <w:sz w:val="21"/>
                <w:szCs w:val="21"/>
              </w:rPr>
              <w:t>以上，可节约</w:t>
            </w:r>
            <w:r w:rsidRPr="0038685B">
              <w:rPr>
                <w:rFonts w:asciiTheme="minorEastAsia" w:hAnsiTheme="minorEastAsia"/>
                <w:color w:val="000000" w:themeColor="text1"/>
                <w:sz w:val="21"/>
                <w:szCs w:val="21"/>
              </w:rPr>
              <w:t>90%</w:t>
            </w:r>
            <w:r w:rsidRPr="0038685B">
              <w:rPr>
                <w:rFonts w:asciiTheme="minorEastAsia" w:hAnsiTheme="minorEastAsia" w:hint="eastAsia"/>
                <w:color w:val="000000" w:themeColor="text1"/>
                <w:sz w:val="21"/>
                <w:szCs w:val="21"/>
              </w:rPr>
              <w:t>以上片碱用量，实现浓碱水零排放。</w:t>
            </w:r>
          </w:p>
        </w:tc>
      </w:tr>
    </w:tbl>
    <w:p w:rsidR="00C50C63" w:rsidRPr="00C50C63" w:rsidRDefault="00C50C63" w:rsidP="006C4BAF">
      <w:pPr>
        <w:rPr>
          <w:rFonts w:ascii="仿宋_GB2312" w:eastAsia="仿宋_GB2312"/>
          <w:sz w:val="32"/>
          <w:szCs w:val="32"/>
        </w:rPr>
      </w:pPr>
    </w:p>
    <w:sectPr w:rsidR="00C50C63" w:rsidRPr="00C50C63" w:rsidSect="00C50C63">
      <w:foot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EE" w:rsidRDefault="00DC2CEE" w:rsidP="007E1D76">
      <w:r>
        <w:separator/>
      </w:r>
    </w:p>
  </w:endnote>
  <w:endnote w:type="continuationSeparator" w:id="0">
    <w:p w:rsidR="00DC2CEE" w:rsidRDefault="00DC2CEE" w:rsidP="007E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63" w:rsidRDefault="00C50C63">
    <w:pPr>
      <w:pStyle w:val="a6"/>
      <w:jc w:val="center"/>
    </w:pPr>
  </w:p>
  <w:p w:rsidR="00C50C63" w:rsidRDefault="00C50C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EE" w:rsidRDefault="00DC2CEE" w:rsidP="007E1D76">
      <w:r>
        <w:separator/>
      </w:r>
    </w:p>
  </w:footnote>
  <w:footnote w:type="continuationSeparator" w:id="0">
    <w:p w:rsidR="00DC2CEE" w:rsidRDefault="00DC2CEE" w:rsidP="007E1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C4590"/>
    <w:multiLevelType w:val="hybridMultilevel"/>
    <w:tmpl w:val="9378C5E2"/>
    <w:lvl w:ilvl="0" w:tplc="E9A4F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4213"/>
    <w:rsid w:val="00013E90"/>
    <w:rsid w:val="00015BB4"/>
    <w:rsid w:val="00021986"/>
    <w:rsid w:val="00027A5C"/>
    <w:rsid w:val="00044CAC"/>
    <w:rsid w:val="00065D7A"/>
    <w:rsid w:val="00084213"/>
    <w:rsid w:val="00090A40"/>
    <w:rsid w:val="000A3C79"/>
    <w:rsid w:val="000E1533"/>
    <w:rsid w:val="00154EAB"/>
    <w:rsid w:val="00163820"/>
    <w:rsid w:val="0017420C"/>
    <w:rsid w:val="001771AC"/>
    <w:rsid w:val="001840CE"/>
    <w:rsid w:val="001C27D2"/>
    <w:rsid w:val="001C7873"/>
    <w:rsid w:val="001D1AA9"/>
    <w:rsid w:val="001E645D"/>
    <w:rsid w:val="001E67F3"/>
    <w:rsid w:val="0024779C"/>
    <w:rsid w:val="002519DA"/>
    <w:rsid w:val="00251D5A"/>
    <w:rsid w:val="00263D4A"/>
    <w:rsid w:val="00283E34"/>
    <w:rsid w:val="002E15BA"/>
    <w:rsid w:val="002E7C0C"/>
    <w:rsid w:val="00300649"/>
    <w:rsid w:val="003242A4"/>
    <w:rsid w:val="0038685B"/>
    <w:rsid w:val="00392838"/>
    <w:rsid w:val="003B348C"/>
    <w:rsid w:val="003D65A3"/>
    <w:rsid w:val="003E4D44"/>
    <w:rsid w:val="004012A9"/>
    <w:rsid w:val="00464BDC"/>
    <w:rsid w:val="004D5327"/>
    <w:rsid w:val="00561582"/>
    <w:rsid w:val="0056183A"/>
    <w:rsid w:val="00567217"/>
    <w:rsid w:val="00571176"/>
    <w:rsid w:val="00580E0E"/>
    <w:rsid w:val="005B6407"/>
    <w:rsid w:val="005D2A28"/>
    <w:rsid w:val="005E4ED2"/>
    <w:rsid w:val="006403EB"/>
    <w:rsid w:val="006421CC"/>
    <w:rsid w:val="0065696F"/>
    <w:rsid w:val="006A2388"/>
    <w:rsid w:val="006B6757"/>
    <w:rsid w:val="006C4BAF"/>
    <w:rsid w:val="006C68FF"/>
    <w:rsid w:val="006F4FD5"/>
    <w:rsid w:val="007057AB"/>
    <w:rsid w:val="00717B10"/>
    <w:rsid w:val="007454DE"/>
    <w:rsid w:val="0074612A"/>
    <w:rsid w:val="00776DA4"/>
    <w:rsid w:val="007816CF"/>
    <w:rsid w:val="00781B2B"/>
    <w:rsid w:val="007C6A5A"/>
    <w:rsid w:val="007D100F"/>
    <w:rsid w:val="007D55BE"/>
    <w:rsid w:val="007E1D76"/>
    <w:rsid w:val="008315E9"/>
    <w:rsid w:val="008415B1"/>
    <w:rsid w:val="008C1A58"/>
    <w:rsid w:val="008C6A30"/>
    <w:rsid w:val="008F60B7"/>
    <w:rsid w:val="0090132C"/>
    <w:rsid w:val="00902B79"/>
    <w:rsid w:val="0096352F"/>
    <w:rsid w:val="00976567"/>
    <w:rsid w:val="00984067"/>
    <w:rsid w:val="00995CD4"/>
    <w:rsid w:val="009B352B"/>
    <w:rsid w:val="009C0426"/>
    <w:rsid w:val="009E29AC"/>
    <w:rsid w:val="00A25D31"/>
    <w:rsid w:val="00A301FA"/>
    <w:rsid w:val="00A4663C"/>
    <w:rsid w:val="00A5308B"/>
    <w:rsid w:val="00A868E1"/>
    <w:rsid w:val="00AA4D0E"/>
    <w:rsid w:val="00AB7387"/>
    <w:rsid w:val="00AB7AF4"/>
    <w:rsid w:val="00AF42AD"/>
    <w:rsid w:val="00B03849"/>
    <w:rsid w:val="00B145D2"/>
    <w:rsid w:val="00B20A6E"/>
    <w:rsid w:val="00B2705E"/>
    <w:rsid w:val="00B72FD1"/>
    <w:rsid w:val="00B854E6"/>
    <w:rsid w:val="00B940C6"/>
    <w:rsid w:val="00B94FB5"/>
    <w:rsid w:val="00BB2486"/>
    <w:rsid w:val="00BB5DC8"/>
    <w:rsid w:val="00BD15A4"/>
    <w:rsid w:val="00C03047"/>
    <w:rsid w:val="00C070AF"/>
    <w:rsid w:val="00C474A9"/>
    <w:rsid w:val="00C50C63"/>
    <w:rsid w:val="00C578FB"/>
    <w:rsid w:val="00C755D6"/>
    <w:rsid w:val="00C77798"/>
    <w:rsid w:val="00C94A80"/>
    <w:rsid w:val="00CD0312"/>
    <w:rsid w:val="00CE1A5A"/>
    <w:rsid w:val="00CF4837"/>
    <w:rsid w:val="00D057F3"/>
    <w:rsid w:val="00D11339"/>
    <w:rsid w:val="00D471F2"/>
    <w:rsid w:val="00D642F7"/>
    <w:rsid w:val="00D848D9"/>
    <w:rsid w:val="00D86866"/>
    <w:rsid w:val="00D87BA1"/>
    <w:rsid w:val="00DC2CEE"/>
    <w:rsid w:val="00DF3CB9"/>
    <w:rsid w:val="00E22B3A"/>
    <w:rsid w:val="00E5142F"/>
    <w:rsid w:val="00E54B35"/>
    <w:rsid w:val="00E8352A"/>
    <w:rsid w:val="00EB79AE"/>
    <w:rsid w:val="00EE05D9"/>
    <w:rsid w:val="00EE0E7E"/>
    <w:rsid w:val="00EE3AD4"/>
    <w:rsid w:val="00F63D42"/>
    <w:rsid w:val="00F6425A"/>
    <w:rsid w:val="00FC689E"/>
    <w:rsid w:val="00FE2EAC"/>
    <w:rsid w:val="00FF4467"/>
    <w:rsid w:val="00FF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14108-6909-449C-9E42-84B48F85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4FD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7E1D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E1D76"/>
    <w:rPr>
      <w:sz w:val="18"/>
      <w:szCs w:val="18"/>
    </w:rPr>
  </w:style>
  <w:style w:type="paragraph" w:styleId="a6">
    <w:name w:val="footer"/>
    <w:basedOn w:val="a"/>
    <w:link w:val="a7"/>
    <w:uiPriority w:val="99"/>
    <w:unhideWhenUsed/>
    <w:qFormat/>
    <w:rsid w:val="007E1D76"/>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7E1D76"/>
    <w:rPr>
      <w:sz w:val="18"/>
      <w:szCs w:val="18"/>
    </w:rPr>
  </w:style>
  <w:style w:type="paragraph" w:styleId="a8">
    <w:name w:val="Date"/>
    <w:basedOn w:val="a"/>
    <w:next w:val="a"/>
    <w:link w:val="a9"/>
    <w:uiPriority w:val="99"/>
    <w:semiHidden/>
    <w:unhideWhenUsed/>
    <w:rsid w:val="00C070AF"/>
    <w:pPr>
      <w:ind w:leftChars="2500" w:left="100"/>
    </w:pPr>
  </w:style>
  <w:style w:type="character" w:customStyle="1" w:styleId="a9">
    <w:name w:val="日期 字符"/>
    <w:basedOn w:val="a0"/>
    <w:link w:val="a8"/>
    <w:uiPriority w:val="99"/>
    <w:semiHidden/>
    <w:rsid w:val="00C070AF"/>
  </w:style>
  <w:style w:type="table" w:styleId="aa">
    <w:name w:val="Table Grid"/>
    <w:basedOn w:val="a1"/>
    <w:uiPriority w:val="59"/>
    <w:qFormat/>
    <w:rsid w:val="00C070A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正文 A"/>
    <w:uiPriority w:val="99"/>
    <w:qFormat/>
    <w:rsid w:val="00C070AF"/>
    <w:pPr>
      <w:widowControl w:val="0"/>
      <w:pBdr>
        <w:top w:val="none" w:sz="0" w:space="31" w:color="FFFFFF"/>
        <w:left w:val="none" w:sz="0" w:space="31" w:color="FFFFFF"/>
        <w:bottom w:val="none" w:sz="0" w:space="31" w:color="FFFFFF"/>
        <w:right w:val="none" w:sz="0" w:space="31" w:color="FFFFFF"/>
      </w:pBdr>
      <w:jc w:val="both"/>
    </w:pPr>
    <w:rPr>
      <w:rFonts w:ascii="Arial Unicode MS" w:eastAsia="宋体" w:hAnsi="Arial Unicode MS" w:cs="Arial Unicode MS"/>
      <w:color w:val="000000"/>
      <w:szCs w:val="21"/>
      <w:u w:color="000000"/>
    </w:rPr>
  </w:style>
  <w:style w:type="paragraph" w:styleId="ac">
    <w:name w:val="List Paragraph"/>
    <w:basedOn w:val="a"/>
    <w:uiPriority w:val="34"/>
    <w:qFormat/>
    <w:rsid w:val="00FF4467"/>
    <w:pPr>
      <w:autoSpaceDE w:val="0"/>
      <w:autoSpaceDN w:val="0"/>
      <w:snapToGrid w:val="0"/>
      <w:spacing w:line="590" w:lineRule="atLeast"/>
      <w:ind w:firstLineChars="200" w:firstLine="420"/>
    </w:pPr>
    <w:rPr>
      <w:rFonts w:ascii="Times New Roman"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5</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许正锋</dc:creator>
  <cp:keywords/>
  <dc:description/>
  <cp:lastModifiedBy>许正锋</cp:lastModifiedBy>
  <cp:revision>54</cp:revision>
  <cp:lastPrinted>2020-12-03T00:07:00Z</cp:lastPrinted>
  <dcterms:created xsi:type="dcterms:W3CDTF">2020-10-20T08:54:00Z</dcterms:created>
  <dcterms:modified xsi:type="dcterms:W3CDTF">2020-12-03T02:55:00Z</dcterms:modified>
</cp:coreProperties>
</file>