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2"/>
          <w:szCs w:val="32"/>
        </w:rPr>
      </w:pPr>
      <w:bookmarkStart w:id="0" w:name="_Toc342403081"/>
      <w:bookmarkStart w:id="1" w:name="_Toc266085769"/>
      <w:bookmarkStart w:id="2" w:name="_Toc343506611"/>
      <w:bookmarkStart w:id="3" w:name="_Toc238380045"/>
      <w:bookmarkStart w:id="4" w:name="_Toc299615952"/>
      <w:r>
        <w:rPr>
          <w:rFonts w:hint="eastAsia" w:ascii="宋体" w:hAnsi="宋体"/>
          <w:sz w:val="32"/>
          <w:szCs w:val="32"/>
        </w:rPr>
        <w:t>附件</w:t>
      </w:r>
      <w:r>
        <w:rPr>
          <w:rFonts w:hint="eastAsia" w:ascii="宋体" w:hAnsi="宋体"/>
          <w:sz w:val="32"/>
          <w:szCs w:val="32"/>
          <w:lang w:val="en-US" w:eastAsia="zh-CN"/>
        </w:rPr>
        <w:t>3</w:t>
      </w:r>
      <w:r>
        <w:rPr>
          <w:rFonts w:hint="eastAsia" w:ascii="宋体" w:hAnsi="宋体"/>
          <w:sz w:val="32"/>
          <w:szCs w:val="32"/>
        </w:rPr>
        <w:t>：</w:t>
      </w:r>
    </w:p>
    <w:p>
      <w:pPr>
        <w:widowControl/>
        <w:rPr>
          <w:rFonts w:hint="eastAsia" w:ascii="仿宋_GB2312" w:eastAsia="仿宋_GB2312"/>
          <w:b/>
          <w:bCs/>
          <w:kern w:val="0"/>
          <w:sz w:val="44"/>
          <w:szCs w:val="44"/>
        </w:rPr>
      </w:pPr>
    </w:p>
    <w:p>
      <w:pPr>
        <w:widowControl/>
        <w:jc w:val="center"/>
        <w:rPr>
          <w:kern w:val="0"/>
        </w:rPr>
      </w:pPr>
      <w:r>
        <w:rPr>
          <w:rFonts w:hint="eastAsia" w:ascii="仿宋_GB2312" w:eastAsia="仿宋_GB2312"/>
          <w:b/>
          <w:bCs/>
          <w:kern w:val="0"/>
          <w:sz w:val="44"/>
          <w:szCs w:val="44"/>
        </w:rPr>
        <w:t>网络连续竞价须知</w:t>
      </w:r>
    </w:p>
    <w:p>
      <w:pPr>
        <w:widowControl/>
        <w:ind w:firstLine="640"/>
        <w:rPr>
          <w:kern w:val="0"/>
        </w:rPr>
      </w:pPr>
      <w:r>
        <w:rPr>
          <w:kern w:val="0"/>
        </w:rPr>
        <w:t> </w:t>
      </w:r>
    </w:p>
    <w:p>
      <w:pPr>
        <w:widowControl/>
        <w:ind w:firstLine="640"/>
        <w:rPr>
          <w:kern w:val="0"/>
        </w:rPr>
      </w:pPr>
      <w:r>
        <w:rPr>
          <w:rFonts w:ascii="宋体" w:hAnsi="宋体"/>
          <w:kern w:val="0"/>
          <w:sz w:val="32"/>
          <w:szCs w:val="32"/>
        </w:rPr>
        <w:t>1</w:t>
      </w:r>
      <w:r>
        <w:rPr>
          <w:rFonts w:hint="eastAsia" w:ascii="宋体" w:hAnsi="宋体"/>
          <w:kern w:val="0"/>
          <w:sz w:val="32"/>
          <w:szCs w:val="32"/>
        </w:rPr>
        <w:t>.</w:t>
      </w:r>
      <w:r>
        <w:rPr>
          <w:rFonts w:ascii="宋体" w:hAnsi="宋体"/>
          <w:kern w:val="0"/>
          <w:sz w:val="32"/>
          <w:szCs w:val="32"/>
        </w:rPr>
        <w:t>本</w:t>
      </w:r>
      <w:r>
        <w:rPr>
          <w:rFonts w:hint="eastAsia" w:ascii="宋体" w:hAnsi="宋体"/>
          <w:kern w:val="0"/>
          <w:sz w:val="32"/>
          <w:szCs w:val="32"/>
        </w:rPr>
        <w:t>项目采取网络连续竞价、项目最高报价者得的方式确定成交人。本项目最高报价是指不低于公告底价的最高报价，由于系统故障和其他原因造成竞价中止时的最高报价不作为本项目最高报价。</w:t>
      </w:r>
    </w:p>
    <w:p>
      <w:pPr>
        <w:widowControl/>
        <w:ind w:firstLine="640"/>
        <w:rPr>
          <w:kern w:val="0"/>
        </w:rPr>
      </w:pPr>
      <w:r>
        <w:rPr>
          <w:rFonts w:hint="eastAsia" w:ascii="宋体" w:hAnsi="宋体"/>
          <w:kern w:val="0"/>
          <w:sz w:val="32"/>
          <w:szCs w:val="32"/>
        </w:rPr>
        <w:t>2.</w:t>
      </w:r>
      <w:r>
        <w:rPr>
          <w:rFonts w:ascii="宋体" w:hAnsi="宋体"/>
          <w:kern w:val="0"/>
          <w:sz w:val="32"/>
          <w:szCs w:val="32"/>
        </w:rPr>
        <w:t>网络连续竞价方式适用于1家及1家以上合格</w:t>
      </w:r>
      <w:r>
        <w:rPr>
          <w:rFonts w:hint="eastAsia" w:ascii="宋体" w:hAnsi="宋体"/>
          <w:kern w:val="0"/>
          <w:sz w:val="32"/>
          <w:szCs w:val="32"/>
        </w:rPr>
        <w:t>意向方参与的竞价项目。</w:t>
      </w:r>
    </w:p>
    <w:p>
      <w:pPr>
        <w:widowControl/>
        <w:ind w:firstLine="640"/>
        <w:rPr>
          <w:kern w:val="0"/>
        </w:rPr>
      </w:pPr>
      <w:r>
        <w:rPr>
          <w:rFonts w:hint="eastAsia" w:ascii="宋体" w:hAnsi="宋体"/>
          <w:kern w:val="0"/>
          <w:sz w:val="32"/>
          <w:szCs w:val="32"/>
        </w:rPr>
        <w:t>3.</w:t>
      </w:r>
      <w:r>
        <w:rPr>
          <w:rFonts w:ascii="宋体" w:hAnsi="宋体"/>
          <w:kern w:val="0"/>
          <w:sz w:val="32"/>
          <w:szCs w:val="32"/>
        </w:rPr>
        <w:t>凡进入</w:t>
      </w:r>
      <w:r>
        <w:rPr>
          <w:rFonts w:hint="eastAsia" w:ascii="宋体" w:hAnsi="宋体"/>
          <w:kern w:val="0"/>
          <w:sz w:val="32"/>
          <w:szCs w:val="32"/>
        </w:rPr>
        <w:t>网络竞价大厅参与竞价的意向方均视同已仔细阅读了公告，并同意其中的各项条款和要求。意向方进入竞价系统进行报价，即视为接受安徽联合技术产权交易所有限公司就本项目发布的公告及其他形式通知的全部内容并无异议。</w:t>
      </w:r>
    </w:p>
    <w:p>
      <w:pPr>
        <w:widowControl/>
        <w:ind w:firstLine="640"/>
        <w:rPr>
          <w:kern w:val="0"/>
        </w:rPr>
      </w:pPr>
      <w:r>
        <w:rPr>
          <w:rFonts w:hint="eastAsia" w:ascii="宋体" w:hAnsi="宋体"/>
          <w:kern w:val="0"/>
          <w:sz w:val="32"/>
          <w:szCs w:val="32"/>
        </w:rPr>
        <w:t>4.本次竞价活动采取的动态报价由自由报价期和延时竞价期组成，一经报价，不得撤回，当其他意向方有更高报价时，其报价即丧失约束力。</w:t>
      </w:r>
    </w:p>
    <w:p>
      <w:pPr>
        <w:widowControl/>
        <w:ind w:firstLine="640"/>
        <w:rPr>
          <w:kern w:val="0"/>
        </w:rPr>
      </w:pPr>
      <w:r>
        <w:rPr>
          <w:rFonts w:hint="eastAsia" w:ascii="宋体" w:hAnsi="宋体"/>
          <w:kern w:val="0"/>
          <w:sz w:val="32"/>
          <w:szCs w:val="32"/>
        </w:rPr>
        <w:t>具体流程如下：</w:t>
      </w:r>
    </w:p>
    <w:p>
      <w:pPr>
        <w:widowControl/>
        <w:ind w:firstLine="640"/>
        <w:rPr>
          <w:kern w:val="0"/>
        </w:rPr>
      </w:pPr>
      <w:r>
        <w:rPr>
          <w:rFonts w:hint="eastAsia" w:ascii="宋体" w:hAnsi="宋体"/>
          <w:kern w:val="0"/>
          <w:sz w:val="32"/>
          <w:szCs w:val="32"/>
        </w:rPr>
        <w:t>（1）公告发出后即进入自由报价期。自由报价期意向方可以对意向标的充分报价，有效报价不得低于公告底价和现有最高有效报价。</w:t>
      </w:r>
      <w:r>
        <w:rPr>
          <w:rFonts w:hint="eastAsia" w:ascii="宋体" w:hAnsi="宋体"/>
          <w:kern w:val="0"/>
          <w:sz w:val="32"/>
          <w:szCs w:val="32"/>
          <w:highlight w:val="none"/>
        </w:rPr>
        <w:t>下一轮报价应在前轮报价的基础上增加一个或几个加价幅度。</w:t>
      </w:r>
    </w:p>
    <w:p>
      <w:pPr>
        <w:widowControl/>
        <w:ind w:firstLine="640"/>
        <w:rPr>
          <w:rFonts w:ascii="宋体" w:hAnsi="宋体"/>
          <w:kern w:val="0"/>
          <w:sz w:val="32"/>
          <w:szCs w:val="32"/>
        </w:rPr>
      </w:pPr>
      <w:r>
        <w:rPr>
          <w:rFonts w:hint="eastAsia" w:ascii="宋体" w:hAnsi="宋体"/>
          <w:kern w:val="0"/>
          <w:sz w:val="32"/>
          <w:szCs w:val="32"/>
        </w:rPr>
        <w:t>（2）自由报价期结束后，进入延时竞价期。延时竞价期内如无人加价，则自由报价期最高出价者即为成交人，该标的竞价活动结束；延时竞价周期为</w:t>
      </w:r>
      <w:r>
        <w:rPr>
          <w:rFonts w:hint="eastAsia" w:ascii="宋体" w:hAnsi="宋体"/>
          <w:kern w:val="0"/>
          <w:sz w:val="32"/>
          <w:szCs w:val="32"/>
          <w:lang w:val="en-US" w:eastAsia="zh-CN"/>
        </w:rPr>
        <w:t>60</w:t>
      </w:r>
      <w:r>
        <w:rPr>
          <w:rFonts w:ascii="宋体" w:hAnsi="宋体"/>
          <w:kern w:val="0"/>
          <w:sz w:val="32"/>
          <w:szCs w:val="32"/>
        </w:rPr>
        <w:t>秒，延时竞价周期内如出现有效报价，则进入新的延时竞价周期；在一个延时竞价周期内如未出现有效报价，则报价结束</w:t>
      </w:r>
      <w:r>
        <w:rPr>
          <w:rFonts w:hint="eastAsia" w:ascii="宋体" w:hAnsi="宋体"/>
          <w:kern w:val="0"/>
          <w:sz w:val="32"/>
          <w:szCs w:val="32"/>
        </w:rPr>
        <w:t>，</w:t>
      </w:r>
      <w:r>
        <w:rPr>
          <w:rFonts w:ascii="宋体" w:hAnsi="宋体"/>
          <w:kern w:val="0"/>
          <w:sz w:val="32"/>
          <w:szCs w:val="32"/>
        </w:rPr>
        <w:t>当前最高有效报价者即成为</w:t>
      </w:r>
      <w:r>
        <w:rPr>
          <w:rFonts w:hint="eastAsia" w:ascii="宋体" w:hAnsi="宋体"/>
          <w:kern w:val="0"/>
          <w:sz w:val="32"/>
          <w:szCs w:val="32"/>
        </w:rPr>
        <w:t>成交人，该标的竞价活动结束。</w:t>
      </w:r>
    </w:p>
    <w:p>
      <w:pPr>
        <w:widowControl/>
        <w:ind w:firstLine="640"/>
        <w:rPr>
          <w:rFonts w:ascii="宋体" w:hAnsi="宋体"/>
          <w:kern w:val="0"/>
          <w:sz w:val="32"/>
          <w:szCs w:val="32"/>
        </w:rPr>
      </w:pPr>
      <w:r>
        <w:rPr>
          <w:rFonts w:hint="eastAsia" w:ascii="宋体" w:hAnsi="宋体"/>
          <w:kern w:val="0"/>
          <w:sz w:val="32"/>
          <w:szCs w:val="32"/>
        </w:rPr>
        <w:t>（3）结果确认。竞价结束后状态变为“竞价结束”，本次报价结束，可以通过“当前最高报价人”得知您是否是最高报价人，并通过右上角“安全退出”登出系统。竞价结束且无异常情况，安徽联合技术产权交易所有限公司将对本次竞价结果进行核查，竞价结果仅作为成交依据，最终成交结果以成交公告为准。</w:t>
      </w:r>
    </w:p>
    <w:p>
      <w:pPr>
        <w:widowControl/>
        <w:ind w:firstLine="640"/>
        <w:rPr>
          <w:rFonts w:ascii="宋体" w:hAnsi="宋体"/>
          <w:kern w:val="0"/>
          <w:sz w:val="32"/>
          <w:szCs w:val="32"/>
        </w:rPr>
      </w:pPr>
      <w:r>
        <w:rPr>
          <w:rFonts w:hint="eastAsia" w:ascii="宋体" w:hAnsi="宋体"/>
          <w:kern w:val="0"/>
          <w:sz w:val="32"/>
          <w:szCs w:val="32"/>
        </w:rPr>
        <w:t>5.</w:t>
      </w:r>
      <w:r>
        <w:rPr>
          <w:rFonts w:ascii="宋体" w:hAnsi="宋体"/>
          <w:kern w:val="0"/>
          <w:sz w:val="32"/>
          <w:szCs w:val="32"/>
        </w:rPr>
        <w:t>免责条款</w:t>
      </w:r>
    </w:p>
    <w:p>
      <w:pPr>
        <w:widowControl/>
        <w:ind w:firstLine="640"/>
        <w:rPr>
          <w:kern w:val="0"/>
        </w:rPr>
      </w:pPr>
      <w:r>
        <w:rPr>
          <w:rFonts w:hint="eastAsia" w:ascii="宋体" w:hAnsi="宋体"/>
          <w:b w:val="0"/>
          <w:bCs/>
          <w:kern w:val="0"/>
          <w:sz w:val="32"/>
          <w:szCs w:val="32"/>
        </w:rPr>
        <w:t>（</w:t>
      </w:r>
      <w:r>
        <w:rPr>
          <w:rFonts w:ascii="宋体" w:hAnsi="宋体"/>
          <w:b w:val="0"/>
          <w:bCs/>
          <w:kern w:val="0"/>
          <w:sz w:val="32"/>
          <w:szCs w:val="32"/>
        </w:rPr>
        <w:t>1）</w:t>
      </w:r>
      <w:r>
        <w:rPr>
          <w:rFonts w:hint="eastAsia" w:ascii="宋体" w:hAnsi="宋体"/>
          <w:kern w:val="0"/>
          <w:sz w:val="32"/>
          <w:szCs w:val="32"/>
        </w:rPr>
        <w:t>意向方应认真填写注册、登记信息。如因意向方所填写的信息不真实、不准确或不完整而造成其无法参与竞价，安徽联合技术产权交易所有限公司不承担任何责任。</w:t>
      </w:r>
    </w:p>
    <w:p>
      <w:pPr>
        <w:widowControl/>
        <w:ind w:firstLine="640"/>
        <w:rPr>
          <w:kern w:val="0"/>
        </w:rPr>
      </w:pPr>
      <w:r>
        <w:rPr>
          <w:rFonts w:hint="eastAsia" w:ascii="宋体" w:hAnsi="宋体"/>
          <w:kern w:val="0"/>
          <w:sz w:val="32"/>
          <w:szCs w:val="32"/>
        </w:rPr>
        <w:t>（</w:t>
      </w:r>
      <w:r>
        <w:rPr>
          <w:rFonts w:ascii="宋体" w:hAnsi="宋体"/>
          <w:kern w:val="0"/>
          <w:sz w:val="32"/>
          <w:szCs w:val="32"/>
        </w:rPr>
        <w:t>2</w:t>
      </w:r>
      <w:r>
        <w:rPr>
          <w:rFonts w:hint="eastAsia" w:ascii="宋体" w:hAnsi="宋体"/>
          <w:kern w:val="0"/>
          <w:sz w:val="32"/>
          <w:szCs w:val="32"/>
        </w:rPr>
        <w:t>）意向方应及时修改初始密码（若有），对自己的账户信息保密，，每个账户仅供一名意向方使用。因意向方原因导致其账户信息泄露而造成的一切后果，安徽联合技术产权交易所有限公司不承担任何责任。</w:t>
      </w:r>
    </w:p>
    <w:p>
      <w:pPr>
        <w:widowControl/>
        <w:ind w:firstLine="640"/>
        <w:rPr>
          <w:kern w:val="0"/>
        </w:rPr>
      </w:pPr>
      <w:r>
        <w:rPr>
          <w:rFonts w:hint="eastAsia" w:ascii="宋体" w:hAnsi="宋体"/>
          <w:kern w:val="0"/>
          <w:sz w:val="32"/>
          <w:szCs w:val="32"/>
        </w:rPr>
        <w:t>（</w:t>
      </w:r>
      <w:r>
        <w:rPr>
          <w:rFonts w:ascii="宋体" w:hAnsi="宋体"/>
          <w:kern w:val="0"/>
          <w:sz w:val="32"/>
          <w:szCs w:val="32"/>
        </w:rPr>
        <w:t>3</w:t>
      </w:r>
      <w:r>
        <w:rPr>
          <w:rFonts w:hint="eastAsia" w:ascii="宋体" w:hAnsi="宋体"/>
          <w:kern w:val="0"/>
          <w:sz w:val="32"/>
          <w:szCs w:val="32"/>
        </w:rPr>
        <w:t>）因意向方自身终端设备和网络异常等原因导致无法正常竞价的，安徽联合技术产权交易所有限公司不承担任何责任。</w:t>
      </w:r>
    </w:p>
    <w:p>
      <w:pPr>
        <w:widowControl/>
        <w:ind w:firstLine="640"/>
        <w:rPr>
          <w:rFonts w:ascii="宋体" w:hAnsi="宋体"/>
          <w:kern w:val="0"/>
          <w:sz w:val="32"/>
          <w:szCs w:val="32"/>
        </w:rPr>
      </w:pPr>
      <w:r>
        <w:rPr>
          <w:rFonts w:hint="eastAsia" w:ascii="宋体" w:hAnsi="宋体"/>
          <w:kern w:val="0"/>
          <w:sz w:val="32"/>
          <w:szCs w:val="32"/>
        </w:rPr>
        <w:t>（</w:t>
      </w:r>
      <w:r>
        <w:rPr>
          <w:rFonts w:ascii="宋体" w:hAnsi="宋体"/>
          <w:kern w:val="0"/>
          <w:sz w:val="32"/>
          <w:szCs w:val="32"/>
        </w:rPr>
        <w:t>4</w:t>
      </w:r>
      <w:r>
        <w:rPr>
          <w:rFonts w:hint="eastAsia" w:ascii="宋体" w:hAnsi="宋体"/>
          <w:kern w:val="0"/>
          <w:sz w:val="32"/>
          <w:szCs w:val="32"/>
        </w:rPr>
        <w:t>）因不可抗力、软硬件故障、非法入侵、恶意攻击等原因而导致网站服务异常、竞价活动中断或延迟的，安徽联合技术产权交易所有限公司不承担任何责任。</w:t>
      </w:r>
    </w:p>
    <w:p>
      <w:pPr>
        <w:widowControl/>
        <w:ind w:firstLine="640"/>
        <w:rPr>
          <w:kern w:val="0"/>
        </w:rPr>
      </w:pPr>
      <w:r>
        <w:rPr>
          <w:rFonts w:hint="eastAsia" w:ascii="宋体" w:hAnsi="宋体"/>
          <w:kern w:val="0"/>
          <w:sz w:val="32"/>
          <w:szCs w:val="32"/>
        </w:rPr>
        <w:t>（5）因委托方来函终止（中止）项目的，系统当前最高报价不作为本项目成交依据。由此造成最高报价人未能成交的，安徽联合技术产权交易所有限公司不承担任何责任。</w:t>
      </w:r>
    </w:p>
    <w:p>
      <w:pPr>
        <w:widowControl/>
        <w:ind w:firstLine="640"/>
        <w:rPr>
          <w:rFonts w:ascii="宋体" w:hAnsi="宋体"/>
          <w:kern w:val="0"/>
          <w:sz w:val="32"/>
          <w:szCs w:val="32"/>
        </w:rPr>
      </w:pPr>
      <w:r>
        <w:rPr>
          <w:rFonts w:hint="eastAsia" w:ascii="宋体" w:hAnsi="宋体"/>
          <w:kern w:val="0"/>
          <w:sz w:val="32"/>
          <w:szCs w:val="32"/>
        </w:rPr>
        <w:t>6.异常情况处理</w:t>
      </w:r>
    </w:p>
    <w:p>
      <w:pPr>
        <w:widowControl/>
        <w:ind w:firstLine="640"/>
        <w:rPr>
          <w:rFonts w:ascii="宋体" w:hAnsi="宋体"/>
          <w:kern w:val="0"/>
          <w:sz w:val="32"/>
          <w:szCs w:val="32"/>
          <w:highlight w:val="none"/>
        </w:rPr>
      </w:pPr>
      <w:r>
        <w:rPr>
          <w:rFonts w:hint="eastAsia" w:ascii="宋体" w:hAnsi="宋体"/>
          <w:kern w:val="0"/>
          <w:sz w:val="32"/>
          <w:szCs w:val="32"/>
          <w:highlight w:val="none"/>
        </w:rPr>
        <w:t>（</w:t>
      </w:r>
      <w:r>
        <w:rPr>
          <w:rFonts w:ascii="宋体" w:hAnsi="宋体"/>
          <w:kern w:val="0"/>
          <w:sz w:val="32"/>
          <w:szCs w:val="32"/>
          <w:highlight w:val="none"/>
        </w:rPr>
        <w:t>1）</w:t>
      </w:r>
      <w:r>
        <w:rPr>
          <w:rFonts w:hint="eastAsia" w:ascii="宋体" w:hAnsi="宋体"/>
          <w:kern w:val="0"/>
          <w:sz w:val="32"/>
          <w:szCs w:val="32"/>
          <w:highlight w:val="none"/>
        </w:rPr>
        <w:t>竞价系统设置有误，安徽联合技术产权交易所有限公司有权中止或终止项目，经转让方</w:t>
      </w:r>
      <w:r>
        <w:rPr>
          <w:rFonts w:hint="eastAsia" w:ascii="宋体" w:hAnsi="宋体"/>
          <w:kern w:val="0"/>
          <w:sz w:val="32"/>
          <w:szCs w:val="32"/>
          <w:highlight w:val="none"/>
          <w:lang w:val="en-US" w:eastAsia="zh-CN"/>
        </w:rPr>
        <w:t>监督部门</w:t>
      </w:r>
      <w:r>
        <w:rPr>
          <w:rFonts w:hint="eastAsia" w:ascii="宋体" w:hAnsi="宋体"/>
          <w:kern w:val="0"/>
          <w:sz w:val="32"/>
          <w:szCs w:val="32"/>
          <w:highlight w:val="none"/>
        </w:rPr>
        <w:t>同意可恢复竞价、重新组织竞价或重新公告。</w:t>
      </w:r>
    </w:p>
    <w:p>
      <w:pPr>
        <w:widowControl/>
        <w:ind w:firstLine="640"/>
        <w:rPr>
          <w:rFonts w:ascii="宋体" w:hAnsi="宋体"/>
          <w:kern w:val="0"/>
          <w:sz w:val="32"/>
          <w:szCs w:val="32"/>
        </w:rPr>
      </w:pPr>
      <w:r>
        <w:rPr>
          <w:rFonts w:hint="eastAsia" w:ascii="宋体" w:hAnsi="宋体"/>
          <w:kern w:val="0"/>
          <w:sz w:val="32"/>
          <w:szCs w:val="32"/>
        </w:rPr>
        <w:t>（2</w:t>
      </w:r>
      <w:r>
        <w:rPr>
          <w:rFonts w:ascii="宋体" w:hAnsi="宋体"/>
          <w:kern w:val="0"/>
          <w:sz w:val="32"/>
          <w:szCs w:val="32"/>
        </w:rPr>
        <w:t>）若出现本须知第</w:t>
      </w:r>
      <w:r>
        <w:rPr>
          <w:rFonts w:hint="eastAsia" w:ascii="宋体" w:hAnsi="宋体"/>
          <w:kern w:val="0"/>
          <w:sz w:val="32"/>
          <w:szCs w:val="32"/>
        </w:rPr>
        <w:t>5</w:t>
      </w:r>
      <w:r>
        <w:rPr>
          <w:rFonts w:ascii="宋体" w:hAnsi="宋体"/>
          <w:kern w:val="0"/>
          <w:sz w:val="32"/>
          <w:szCs w:val="32"/>
        </w:rPr>
        <w:t>条第</w:t>
      </w:r>
      <w:r>
        <w:rPr>
          <w:rFonts w:hint="eastAsia" w:ascii="宋体" w:hAnsi="宋体"/>
          <w:kern w:val="0"/>
          <w:sz w:val="32"/>
          <w:szCs w:val="32"/>
        </w:rPr>
        <w:t>（</w:t>
      </w:r>
      <w:r>
        <w:rPr>
          <w:rFonts w:ascii="宋体" w:hAnsi="宋体"/>
          <w:kern w:val="0"/>
          <w:sz w:val="32"/>
          <w:szCs w:val="32"/>
        </w:rPr>
        <w:t>4</w:t>
      </w:r>
      <w:r>
        <w:rPr>
          <w:rFonts w:hint="eastAsia" w:ascii="宋体" w:hAnsi="宋体"/>
          <w:kern w:val="0"/>
          <w:sz w:val="32"/>
          <w:szCs w:val="32"/>
        </w:rPr>
        <w:t>）、（5）</w:t>
      </w:r>
      <w:r>
        <w:rPr>
          <w:rFonts w:ascii="宋体" w:hAnsi="宋体"/>
          <w:kern w:val="0"/>
          <w:sz w:val="32"/>
          <w:szCs w:val="32"/>
        </w:rPr>
        <w:t>款所述情况，</w:t>
      </w:r>
      <w:r>
        <w:rPr>
          <w:rFonts w:hint="eastAsia" w:ascii="宋体" w:hAnsi="宋体"/>
          <w:kern w:val="0"/>
          <w:sz w:val="32"/>
          <w:szCs w:val="32"/>
        </w:rPr>
        <w:t>安徽联合技术产权交易所有限公司</w:t>
      </w:r>
      <w:r>
        <w:rPr>
          <w:rFonts w:ascii="宋体" w:hAnsi="宋体"/>
          <w:kern w:val="0"/>
          <w:sz w:val="32"/>
          <w:szCs w:val="32"/>
        </w:rPr>
        <w:t>有权中止或终止项目，经</w:t>
      </w:r>
      <w:r>
        <w:rPr>
          <w:rFonts w:hint="eastAsia" w:ascii="宋体" w:hAnsi="宋体"/>
          <w:kern w:val="0"/>
          <w:sz w:val="32"/>
          <w:szCs w:val="32"/>
        </w:rPr>
        <w:t>转让方</w:t>
      </w:r>
      <w:r>
        <w:rPr>
          <w:rFonts w:hint="eastAsia" w:ascii="宋体" w:hAnsi="宋体"/>
          <w:kern w:val="0"/>
          <w:sz w:val="32"/>
          <w:szCs w:val="32"/>
          <w:lang w:val="en-US" w:eastAsia="zh-CN"/>
        </w:rPr>
        <w:t>监督部门</w:t>
      </w:r>
      <w:r>
        <w:rPr>
          <w:rFonts w:hint="eastAsia" w:ascii="宋体" w:hAnsi="宋体"/>
          <w:kern w:val="0"/>
          <w:sz w:val="32"/>
          <w:szCs w:val="32"/>
        </w:rPr>
        <w:t>同意可恢复竞价、重新组织竞价或重新公告。</w:t>
      </w:r>
    </w:p>
    <w:p>
      <w:pPr>
        <w:ind w:firstLine="640" w:firstLineChars="200"/>
        <w:rPr>
          <w:rFonts w:ascii="宋体" w:hAnsi="宋体"/>
          <w:kern w:val="0"/>
          <w:sz w:val="32"/>
          <w:szCs w:val="32"/>
          <w:highlight w:val="none"/>
        </w:rPr>
      </w:pPr>
      <w:r>
        <w:rPr>
          <w:rFonts w:hint="eastAsia" w:ascii="宋体" w:hAnsi="宋体"/>
          <w:kern w:val="0"/>
          <w:sz w:val="32"/>
          <w:szCs w:val="32"/>
          <w:highlight w:val="none"/>
        </w:rPr>
        <w:t>（</w:t>
      </w:r>
      <w:r>
        <w:rPr>
          <w:rFonts w:ascii="宋体" w:hAnsi="宋体"/>
          <w:kern w:val="0"/>
          <w:sz w:val="32"/>
          <w:szCs w:val="32"/>
          <w:highlight w:val="none"/>
        </w:rPr>
        <w:t>3）</w:t>
      </w:r>
      <w:r>
        <w:rPr>
          <w:rFonts w:hint="eastAsia" w:ascii="宋体" w:hAnsi="宋体"/>
          <w:kern w:val="0"/>
          <w:sz w:val="32"/>
          <w:szCs w:val="32"/>
          <w:highlight w:val="none"/>
        </w:rPr>
        <w:t>采取中止竞价活动的，我单位将全力组织相关方排除故障或解决问题，并根据实际情况尽快组织恢复或重新组织竞价，由安徽联合技术产权交易所有限公司通知参与报价的各意向方。恢复或重新组织竞价，规则如下：</w:t>
      </w:r>
    </w:p>
    <w:p>
      <w:pPr>
        <w:ind w:firstLine="640" w:firstLineChars="200"/>
        <w:rPr>
          <w:rFonts w:ascii="宋体" w:hAnsi="宋体"/>
          <w:kern w:val="0"/>
          <w:sz w:val="32"/>
          <w:szCs w:val="32"/>
          <w:highlight w:val="none"/>
        </w:rPr>
      </w:pPr>
      <w:r>
        <w:rPr>
          <w:rFonts w:hint="eastAsia" w:ascii="宋体" w:hAnsi="宋体"/>
          <w:kern w:val="0"/>
          <w:sz w:val="32"/>
          <w:szCs w:val="32"/>
          <w:highlight w:val="none"/>
        </w:rPr>
        <w:t>①竞价记录可以恢复的，继续报价。继续报价时按暂停报价时的最高报价者及其报价作为起始状态并设置一定时间的自由报价期继续组织报价。</w:t>
      </w:r>
    </w:p>
    <w:p>
      <w:pPr>
        <w:ind w:firstLine="640" w:firstLineChars="200"/>
        <w:rPr>
          <w:rFonts w:ascii="宋体" w:hAnsi="宋体"/>
          <w:kern w:val="0"/>
          <w:sz w:val="32"/>
          <w:szCs w:val="32"/>
          <w:highlight w:val="none"/>
        </w:rPr>
      </w:pPr>
      <w:r>
        <w:rPr>
          <w:rFonts w:hint="eastAsia" w:ascii="宋体" w:hAnsi="宋体"/>
          <w:kern w:val="0"/>
          <w:sz w:val="32"/>
          <w:szCs w:val="32"/>
          <w:highlight w:val="none"/>
        </w:rPr>
        <w:t>②如继续报价无人应价时，则确认起始状态的价格为成交价格，起始状态的最高报价者为报价最高的意向方，并确定其为成交人。</w:t>
      </w:r>
    </w:p>
    <w:p>
      <w:pPr>
        <w:ind w:firstLine="640" w:firstLineChars="200"/>
        <w:rPr>
          <w:rFonts w:ascii="宋体" w:hAnsi="宋体"/>
          <w:color w:val="000000"/>
          <w:kern w:val="0"/>
          <w:sz w:val="32"/>
          <w:szCs w:val="32"/>
          <w:highlight w:val="none"/>
        </w:rPr>
      </w:pPr>
      <w:r>
        <w:rPr>
          <w:rFonts w:ascii="宋体" w:hAnsi="宋体"/>
          <w:kern w:val="0"/>
          <w:sz w:val="32"/>
          <w:szCs w:val="32"/>
          <w:highlight w:val="none"/>
        </w:rPr>
        <w:fldChar w:fldCharType="begin"/>
      </w:r>
      <w:r>
        <w:rPr>
          <w:rFonts w:ascii="宋体" w:hAnsi="宋体"/>
          <w:kern w:val="0"/>
          <w:sz w:val="32"/>
          <w:szCs w:val="32"/>
          <w:highlight w:val="none"/>
        </w:rPr>
        <w:instrText xml:space="preserve"> </w:instrText>
      </w:r>
      <w:r>
        <w:rPr>
          <w:rFonts w:hint="eastAsia" w:ascii="宋体" w:hAnsi="宋体"/>
          <w:kern w:val="0"/>
          <w:sz w:val="32"/>
          <w:szCs w:val="32"/>
          <w:highlight w:val="none"/>
        </w:rPr>
        <w:instrText xml:space="preserve">= 3 \* GB3</w:instrText>
      </w:r>
      <w:r>
        <w:rPr>
          <w:rFonts w:ascii="宋体" w:hAnsi="宋体"/>
          <w:kern w:val="0"/>
          <w:sz w:val="32"/>
          <w:szCs w:val="32"/>
          <w:highlight w:val="none"/>
        </w:rPr>
        <w:instrText xml:space="preserve"> </w:instrText>
      </w:r>
      <w:r>
        <w:rPr>
          <w:rFonts w:ascii="宋体" w:hAnsi="宋体"/>
          <w:kern w:val="0"/>
          <w:sz w:val="32"/>
          <w:szCs w:val="32"/>
          <w:highlight w:val="none"/>
        </w:rPr>
        <w:fldChar w:fldCharType="separate"/>
      </w:r>
      <w:r>
        <w:rPr>
          <w:rFonts w:hint="eastAsia" w:ascii="宋体" w:hAnsi="宋体"/>
          <w:kern w:val="0"/>
          <w:sz w:val="32"/>
          <w:szCs w:val="32"/>
          <w:highlight w:val="none"/>
        </w:rPr>
        <w:t>③</w:t>
      </w:r>
      <w:r>
        <w:rPr>
          <w:rFonts w:ascii="宋体" w:hAnsi="宋体"/>
          <w:kern w:val="0"/>
          <w:sz w:val="32"/>
          <w:szCs w:val="32"/>
          <w:highlight w:val="none"/>
        </w:rPr>
        <w:fldChar w:fldCharType="end"/>
      </w:r>
      <w:r>
        <w:rPr>
          <w:rFonts w:hint="eastAsia" w:ascii="宋体" w:hAnsi="宋体"/>
          <w:kern w:val="0"/>
          <w:sz w:val="32"/>
          <w:szCs w:val="32"/>
          <w:highlight w:val="none"/>
        </w:rPr>
        <w:t>报价记录无法恢复的，重新组织竞价。</w:t>
      </w:r>
    </w:p>
    <w:p>
      <w:pPr>
        <w:widowControl/>
        <w:ind w:firstLine="640"/>
        <w:rPr>
          <w:rFonts w:hint="eastAsia" w:ascii="宋体" w:hAnsi="宋体"/>
          <w:kern w:val="0"/>
          <w:sz w:val="32"/>
          <w:szCs w:val="32"/>
        </w:rPr>
      </w:pPr>
      <w:r>
        <w:rPr>
          <w:rFonts w:hint="eastAsia" w:ascii="宋体" w:hAnsi="宋体"/>
          <w:kern w:val="0"/>
          <w:sz w:val="32"/>
          <w:szCs w:val="32"/>
        </w:rPr>
        <w:t>7.本须知最终解释权归安徽</w:t>
      </w:r>
      <w:bookmarkStart w:id="5" w:name="_GoBack"/>
      <w:bookmarkEnd w:id="5"/>
      <w:r>
        <w:rPr>
          <w:rFonts w:hint="eastAsia" w:ascii="宋体" w:hAnsi="宋体"/>
          <w:kern w:val="0"/>
          <w:sz w:val="32"/>
          <w:szCs w:val="32"/>
        </w:rPr>
        <w:t>联合技术产权交易所有限公司。   </w:t>
      </w:r>
    </w:p>
    <w:p>
      <w:pPr>
        <w:widowControl/>
        <w:ind w:firstLine="640"/>
        <w:jc w:val="right"/>
        <w:rPr>
          <w:rFonts w:hint="eastAsia" w:ascii="宋体" w:hAnsi="宋体"/>
          <w:kern w:val="0"/>
          <w:sz w:val="32"/>
          <w:szCs w:val="32"/>
        </w:rPr>
      </w:pPr>
      <w:r>
        <w:rPr>
          <w:rFonts w:hint="eastAsia" w:ascii="宋体" w:hAnsi="宋体"/>
          <w:kern w:val="0"/>
          <w:sz w:val="32"/>
          <w:szCs w:val="32"/>
        </w:rPr>
        <w:t>安徽联合技术产权交易所有限公司</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bookmarkEnd w:id="0"/>
    <w:bookmarkEnd w:id="1"/>
    <w:bookmarkEnd w:id="2"/>
    <w:bookmarkEnd w:id="3"/>
    <w:bookmarkEnd w:id="4"/>
    <w:p>
      <w:pPr>
        <w:rPr>
          <w:rFonts w:hint="eastAsia" w:ascii="宋体" w:hAnsi="宋体"/>
          <w:sz w:val="32"/>
          <w:szCs w:val="32"/>
        </w:rPr>
      </w:pPr>
    </w:p>
    <w:p/>
    <w:sectPr>
      <w:pgSz w:w="11906" w:h="16838"/>
      <w:pgMar w:top="155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F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2022-05-23T05:14:58Z</dcterms:created>
  <dc:creator>Administrator</dc:creator>
  <cp:lastModifiedBy>Administrator</cp:lastModifiedBy>
  <dcterms:modified xsi:type="dcterms:W3CDTF">2022-05-23T05:17:14Z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EE4EC7EAB2F245C2BF8951896597877D</vt:lpwstr>
  </property>
</Properties>
</file>