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6A6" w:rsidRPr="001A4356" w:rsidRDefault="00FF5C24">
      <w:pPr>
        <w:rPr>
          <w:rFonts w:asciiTheme="minorEastAsia" w:hAnsiTheme="minorEastAsia"/>
          <w:sz w:val="28"/>
          <w:szCs w:val="32"/>
        </w:rPr>
      </w:pPr>
      <w:r>
        <w:rPr>
          <w:rFonts w:asciiTheme="minorEastAsia" w:hAnsiTheme="minorEastAsia"/>
          <w:sz w:val="28"/>
          <w:szCs w:val="32"/>
        </w:rPr>
        <w:t>成</w:t>
      </w:r>
      <w:r w:rsidR="00DB382C" w:rsidRPr="001A4356">
        <w:rPr>
          <w:rFonts w:asciiTheme="minorEastAsia" w:hAnsiTheme="minorEastAsia"/>
          <w:sz w:val="28"/>
          <w:szCs w:val="32"/>
        </w:rPr>
        <w:t>果名称：</w:t>
      </w:r>
      <w:r w:rsidR="00B85A6E" w:rsidRPr="00F11CFC">
        <w:rPr>
          <w:rFonts w:asciiTheme="minorEastAsia" w:hAnsiTheme="minorEastAsia"/>
          <w:sz w:val="28"/>
          <w:szCs w:val="32"/>
        </w:rPr>
        <w:t>红外</w:t>
      </w:r>
      <w:r w:rsidR="00B85A6E" w:rsidRPr="00F11CFC">
        <w:rPr>
          <w:rFonts w:asciiTheme="minorEastAsia" w:hAnsiTheme="minorEastAsia" w:hint="eastAsia"/>
          <w:sz w:val="28"/>
          <w:szCs w:val="32"/>
        </w:rPr>
        <w:t>高发射率节能</w:t>
      </w:r>
      <w:r w:rsidR="00B85A6E" w:rsidRPr="00F11CFC">
        <w:rPr>
          <w:rFonts w:asciiTheme="minorEastAsia" w:hAnsiTheme="minorEastAsia"/>
          <w:sz w:val="28"/>
          <w:szCs w:val="32"/>
        </w:rPr>
        <w:t>涂层材料</w:t>
      </w:r>
    </w:p>
    <w:p w:rsidR="00B85A6E" w:rsidRPr="00F11CFC"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B85A6E" w:rsidRPr="00F11CFC">
        <w:rPr>
          <w:rFonts w:asciiTheme="minorEastAsia" w:hAnsiTheme="minorEastAsia"/>
          <w:sz w:val="28"/>
          <w:szCs w:val="32"/>
        </w:rPr>
        <w:t>中国科学院合肥物质科学研究院</w:t>
      </w:r>
    </w:p>
    <w:p w:rsidR="00B85A6E" w:rsidRDefault="00DB382C" w:rsidP="00B85A6E">
      <w:pPr>
        <w:spacing w:line="360" w:lineRule="exact"/>
        <w:jc w:val="left"/>
        <w:rPr>
          <w:rFonts w:asciiTheme="minorEastAsia" w:hAnsiTheme="minorEastAsia"/>
          <w:sz w:val="28"/>
          <w:szCs w:val="32"/>
        </w:rPr>
      </w:pPr>
      <w:r w:rsidRPr="001A4356">
        <w:rPr>
          <w:rFonts w:asciiTheme="minorEastAsia" w:hAnsiTheme="minorEastAsia" w:hint="eastAsia"/>
          <w:sz w:val="28"/>
          <w:szCs w:val="32"/>
        </w:rPr>
        <w:t>项目简介：</w:t>
      </w:r>
    </w:p>
    <w:p w:rsidR="00B85A6E" w:rsidRDefault="00B85A6E" w:rsidP="00B85A6E">
      <w:pPr>
        <w:ind w:firstLineChars="200" w:firstLine="560"/>
        <w:rPr>
          <w:rFonts w:asciiTheme="minorEastAsia" w:hAnsiTheme="minorEastAsia"/>
          <w:sz w:val="28"/>
          <w:szCs w:val="32"/>
        </w:rPr>
      </w:pPr>
      <w:r w:rsidRPr="00B85A6E">
        <w:rPr>
          <w:rFonts w:asciiTheme="minorEastAsia" w:hAnsiTheme="minorEastAsia" w:hint="eastAsia"/>
          <w:sz w:val="28"/>
          <w:szCs w:val="32"/>
        </w:rPr>
        <w:t>针对我国工业窑炉、锅炉及民用灶具能源消耗巨大，能源利用率低的现状，我们开发了两种红外高发射率节能涂层材料及其粘接剂产品：可用于工业窑炉的高温红外辐射增强涂层材料和应用于工业锅炉及民用灶具场合的中低温红外高吸收率涂层材料。</w:t>
      </w:r>
    </w:p>
    <w:p w:rsidR="00B85A6E" w:rsidRPr="00B85A6E" w:rsidRDefault="00B85A6E" w:rsidP="00B85A6E">
      <w:pPr>
        <w:ind w:firstLineChars="200" w:firstLine="560"/>
        <w:rPr>
          <w:rFonts w:asciiTheme="minorEastAsia" w:hAnsiTheme="minorEastAsia"/>
          <w:sz w:val="28"/>
          <w:szCs w:val="32"/>
        </w:rPr>
      </w:pPr>
      <w:r w:rsidRPr="00B85A6E">
        <w:rPr>
          <w:rFonts w:asciiTheme="minorEastAsia" w:hAnsiTheme="minorEastAsia" w:hint="eastAsia"/>
          <w:sz w:val="28"/>
          <w:szCs w:val="32"/>
        </w:rPr>
        <w:t>目前，这两类产品均通过了实验室的小试和实际工况条件下的中试测试。其中，高温红外增强涂层材料在实验室条件下小试节能效率超过</w:t>
      </w:r>
      <w:r w:rsidRPr="00B85A6E">
        <w:rPr>
          <w:rFonts w:asciiTheme="minorEastAsia" w:hAnsiTheme="minorEastAsia"/>
          <w:sz w:val="28"/>
          <w:szCs w:val="32"/>
        </w:rPr>
        <w:t>3.5%</w:t>
      </w:r>
      <w:r w:rsidRPr="00B85A6E">
        <w:rPr>
          <w:rFonts w:asciiTheme="minorEastAsia" w:hAnsiTheme="minorEastAsia" w:hint="eastAsia"/>
          <w:sz w:val="28"/>
          <w:szCs w:val="32"/>
        </w:rPr>
        <w:t>，实际工况条件下的节能效率在</w:t>
      </w:r>
      <w:r w:rsidRPr="00B85A6E">
        <w:rPr>
          <w:rFonts w:asciiTheme="minorEastAsia" w:hAnsiTheme="minorEastAsia"/>
          <w:sz w:val="28"/>
          <w:szCs w:val="32"/>
        </w:rPr>
        <w:t>3%</w:t>
      </w:r>
      <w:r w:rsidRPr="00B85A6E">
        <w:rPr>
          <w:rFonts w:asciiTheme="minorEastAsia" w:hAnsiTheme="minorEastAsia" w:hint="eastAsia"/>
          <w:sz w:val="28"/>
          <w:szCs w:val="32"/>
        </w:rPr>
        <w:t>以上；而红外高吸收率材料在实验室条件下的节能效率更是高达</w:t>
      </w:r>
      <w:r w:rsidRPr="00B85A6E">
        <w:rPr>
          <w:rFonts w:asciiTheme="minorEastAsia" w:hAnsiTheme="minorEastAsia"/>
          <w:sz w:val="28"/>
          <w:szCs w:val="32"/>
        </w:rPr>
        <w:t>12%</w:t>
      </w:r>
      <w:r w:rsidRPr="00B85A6E">
        <w:rPr>
          <w:rFonts w:asciiTheme="minorEastAsia" w:hAnsiTheme="minorEastAsia" w:hint="eastAsia"/>
          <w:sz w:val="28"/>
          <w:szCs w:val="32"/>
        </w:rPr>
        <w:t>，在实际工况条件下的节能效率达到</w:t>
      </w:r>
      <w:r w:rsidRPr="00B85A6E">
        <w:rPr>
          <w:rFonts w:asciiTheme="minorEastAsia" w:hAnsiTheme="minorEastAsia"/>
          <w:sz w:val="28"/>
          <w:szCs w:val="32"/>
        </w:rPr>
        <w:t>8%</w:t>
      </w:r>
      <w:r w:rsidRPr="00B85A6E">
        <w:rPr>
          <w:rFonts w:asciiTheme="minorEastAsia" w:hAnsiTheme="minorEastAsia" w:hint="eastAsia"/>
          <w:sz w:val="28"/>
          <w:szCs w:val="32"/>
        </w:rPr>
        <w:t>。上述两类材料的研发先后已获得</w:t>
      </w:r>
      <w:r w:rsidRPr="00B85A6E">
        <w:rPr>
          <w:rFonts w:asciiTheme="minorEastAsia" w:hAnsiTheme="minorEastAsia"/>
          <w:sz w:val="28"/>
          <w:szCs w:val="32"/>
        </w:rPr>
        <w:t>3</w:t>
      </w:r>
      <w:r w:rsidRPr="00B85A6E">
        <w:rPr>
          <w:rFonts w:asciiTheme="minorEastAsia" w:hAnsiTheme="minorEastAsia" w:hint="eastAsia"/>
          <w:sz w:val="28"/>
          <w:szCs w:val="32"/>
        </w:rPr>
        <w:t>项国家发明专利的保护，另有若干工艺性专利正在申请保护中。</w:t>
      </w:r>
    </w:p>
    <w:p w:rsidR="00B85A6E" w:rsidRDefault="00B85A6E" w:rsidP="00B85A6E">
      <w:pPr>
        <w:ind w:firstLineChars="200" w:firstLine="560"/>
        <w:rPr>
          <w:rFonts w:asciiTheme="minorEastAsia" w:hAnsiTheme="minorEastAsia"/>
          <w:sz w:val="28"/>
          <w:szCs w:val="32"/>
        </w:rPr>
      </w:pPr>
      <w:r w:rsidRPr="00B85A6E">
        <w:rPr>
          <w:rFonts w:asciiTheme="minorEastAsia" w:hAnsiTheme="minorEastAsia" w:hint="eastAsia"/>
          <w:sz w:val="28"/>
          <w:szCs w:val="32"/>
        </w:rPr>
        <w:t>和工业锅炉、民用灶具常用节能方法相比，使用我们开发的中低温红外高吸收率涂层材料节能具有操作简单、节能效果明显，无需对工件进行额外设计、应用广泛等特点，且市场上成熟的竞品相对缺乏；和当前市售红外高温高发射率涂层材料相比，我们开发的高温红外增强涂层材料无论是在性能上还是成本上都有明显的优势。</w:t>
      </w:r>
    </w:p>
    <w:p w:rsidR="00B85A6E" w:rsidRPr="00B85A6E" w:rsidRDefault="00B85A6E" w:rsidP="00B85A6E">
      <w:pPr>
        <w:ind w:firstLineChars="200" w:firstLine="560"/>
        <w:rPr>
          <w:rFonts w:asciiTheme="minorEastAsia" w:hAnsiTheme="minorEastAsia"/>
          <w:sz w:val="28"/>
          <w:szCs w:val="32"/>
        </w:rPr>
      </w:pPr>
      <w:r w:rsidRPr="00B85A6E">
        <w:rPr>
          <w:rFonts w:asciiTheme="minorEastAsia" w:hAnsiTheme="minorEastAsia" w:hint="eastAsia"/>
          <w:sz w:val="28"/>
          <w:szCs w:val="32"/>
        </w:rPr>
        <w:t>此外，这两类材料还具有原材料廉价、生产和使用过程无污染、无公害、抗老化、耐候性强等优点，具有巨大的市场推广价值和社会价值。可广泛用于冶金、石化、火电、水泥、玻璃、陶瓷等行业的高温窑炉、锅炉和各种民用灶具，相关产品的使用可缩短工件升温时间、提高工作温度、延长工件使用寿命，起到明显的节能减排和降耗增效</w:t>
      </w:r>
      <w:r w:rsidRPr="00B85A6E">
        <w:rPr>
          <w:rFonts w:asciiTheme="minorEastAsia" w:hAnsiTheme="minorEastAsia" w:hint="eastAsia"/>
          <w:sz w:val="28"/>
          <w:szCs w:val="32"/>
        </w:rPr>
        <w:lastRenderedPageBreak/>
        <w:t>作用，对优化我国的能源结构，促进我国经济的可持续发展，完成</w:t>
      </w:r>
      <w:proofErr w:type="gramStart"/>
      <w:r w:rsidRPr="00B85A6E">
        <w:rPr>
          <w:rFonts w:asciiTheme="minorEastAsia" w:hAnsiTheme="minorEastAsia" w:hint="eastAsia"/>
          <w:sz w:val="28"/>
          <w:szCs w:val="32"/>
        </w:rPr>
        <w:t>习主席</w:t>
      </w:r>
      <w:proofErr w:type="gramEnd"/>
      <w:r w:rsidRPr="00B85A6E">
        <w:rPr>
          <w:rFonts w:asciiTheme="minorEastAsia" w:hAnsiTheme="minorEastAsia" w:hint="eastAsia"/>
          <w:sz w:val="28"/>
          <w:szCs w:val="32"/>
        </w:rPr>
        <w:t>提出的在</w:t>
      </w:r>
      <w:r w:rsidRPr="00B85A6E">
        <w:rPr>
          <w:rFonts w:asciiTheme="minorEastAsia" w:hAnsiTheme="minorEastAsia"/>
          <w:sz w:val="28"/>
          <w:szCs w:val="32"/>
        </w:rPr>
        <w:t>2060</w:t>
      </w:r>
      <w:r w:rsidR="00F11CFC">
        <w:rPr>
          <w:rFonts w:asciiTheme="minorEastAsia" w:hAnsiTheme="minorEastAsia" w:hint="eastAsia"/>
          <w:sz w:val="28"/>
          <w:szCs w:val="32"/>
        </w:rPr>
        <w:t>年前实现碳中和宏伟目标等都具有重要</w:t>
      </w:r>
      <w:r w:rsidRPr="00B85A6E">
        <w:rPr>
          <w:rFonts w:asciiTheme="minorEastAsia" w:hAnsiTheme="minorEastAsia" w:hint="eastAsia"/>
          <w:sz w:val="28"/>
          <w:szCs w:val="32"/>
        </w:rPr>
        <w:t>现实意义。</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转让底价（万元）：</w:t>
      </w:r>
      <w:r w:rsidR="0023252A">
        <w:rPr>
          <w:rFonts w:asciiTheme="minorEastAsia" w:hAnsiTheme="minorEastAsia" w:hint="eastAsia"/>
          <w:sz w:val="28"/>
          <w:szCs w:val="32"/>
        </w:rPr>
        <w:t>6</w:t>
      </w:r>
      <w:r w:rsidR="00B85A6E">
        <w:rPr>
          <w:rFonts w:asciiTheme="minorEastAsia" w:hAnsiTheme="minorEastAsia" w:hint="eastAsia"/>
          <w:sz w:val="28"/>
          <w:szCs w:val="32"/>
        </w:rPr>
        <w:t>00</w:t>
      </w:r>
    </w:p>
    <w:p w:rsidR="00DB382C" w:rsidRDefault="00DB382C">
      <w:pPr>
        <w:rPr>
          <w:rFonts w:asciiTheme="minorEastAsia" w:hAnsiTheme="minorEastAsia"/>
          <w:sz w:val="28"/>
          <w:szCs w:val="32"/>
        </w:rPr>
      </w:pPr>
      <w:r w:rsidRPr="001A4356">
        <w:rPr>
          <w:rFonts w:asciiTheme="minorEastAsia" w:hAnsiTheme="minorEastAsia" w:hint="eastAsia"/>
          <w:sz w:val="28"/>
          <w:szCs w:val="32"/>
        </w:rPr>
        <w:t>项目图片：（如有）</w:t>
      </w:r>
    </w:p>
    <w:p w:rsidR="00B85A6E" w:rsidRPr="001A4356" w:rsidRDefault="00B85A6E">
      <w:pPr>
        <w:rPr>
          <w:rFonts w:asciiTheme="minorEastAsia" w:hAnsiTheme="minorEastAsia"/>
          <w:sz w:val="28"/>
          <w:szCs w:val="32"/>
        </w:rPr>
      </w:pPr>
      <w:r>
        <w:rPr>
          <w:rFonts w:ascii="仿宋_GB2312" w:eastAsia="仿宋_GB2312"/>
          <w:noProof/>
          <w:sz w:val="28"/>
          <w:szCs w:val="30"/>
        </w:rPr>
        <w:drawing>
          <wp:anchor distT="0" distB="0" distL="114300" distR="114300" simplePos="0" relativeHeight="251661312" behindDoc="0" locked="0" layoutInCell="1" allowOverlap="1" wp14:anchorId="0A63E04F" wp14:editId="34A0DC64">
            <wp:simplePos x="0" y="0"/>
            <wp:positionH relativeFrom="column">
              <wp:posOffset>723265</wp:posOffset>
            </wp:positionH>
            <wp:positionV relativeFrom="paragraph">
              <wp:posOffset>113665</wp:posOffset>
            </wp:positionV>
            <wp:extent cx="3949700" cy="170370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49700" cy="1703705"/>
                    </a:xfrm>
                    <a:prstGeom prst="rect">
                      <a:avLst/>
                    </a:prstGeom>
                    <a:noFill/>
                  </pic:spPr>
                </pic:pic>
              </a:graphicData>
            </a:graphic>
          </wp:anchor>
        </w:drawing>
      </w:r>
    </w:p>
    <w:p w:rsidR="00B85A6E" w:rsidRDefault="00B85A6E">
      <w:pPr>
        <w:rPr>
          <w:rFonts w:asciiTheme="minorEastAsia" w:hAnsiTheme="minorEastAsia"/>
          <w:sz w:val="28"/>
          <w:szCs w:val="32"/>
        </w:rPr>
      </w:pPr>
    </w:p>
    <w:p w:rsidR="00B85A6E" w:rsidRDefault="00B85A6E">
      <w:pPr>
        <w:rPr>
          <w:rFonts w:asciiTheme="minorEastAsia" w:hAnsiTheme="minorEastAsia"/>
          <w:sz w:val="28"/>
          <w:szCs w:val="32"/>
        </w:rPr>
      </w:pPr>
    </w:p>
    <w:p w:rsidR="00B85A6E" w:rsidRDefault="00B85A6E">
      <w:pPr>
        <w:rPr>
          <w:rFonts w:asciiTheme="minorEastAsia" w:hAnsiTheme="minorEastAsia"/>
          <w:sz w:val="28"/>
          <w:szCs w:val="32"/>
        </w:rPr>
      </w:pPr>
    </w:p>
    <w:p w:rsidR="00B85A6E" w:rsidRDefault="00B85A6E">
      <w:pPr>
        <w:rPr>
          <w:rFonts w:asciiTheme="minorEastAsia" w:hAnsiTheme="minorEastAsia"/>
          <w:sz w:val="28"/>
          <w:szCs w:val="32"/>
        </w:rPr>
      </w:pPr>
    </w:p>
    <w:p w:rsidR="00F11CFC" w:rsidRPr="00F11CFC" w:rsidRDefault="00F11CFC" w:rsidP="00F11CFC">
      <w:pPr>
        <w:spacing w:line="360" w:lineRule="exact"/>
        <w:jc w:val="center"/>
        <w:rPr>
          <w:rFonts w:asciiTheme="majorEastAsia" w:eastAsiaTheme="majorEastAsia" w:hAnsiTheme="majorEastAsia"/>
          <w:sz w:val="24"/>
        </w:rPr>
      </w:pPr>
      <w:r w:rsidRPr="00F11CFC">
        <w:rPr>
          <w:rFonts w:asciiTheme="majorEastAsia" w:eastAsiaTheme="majorEastAsia" w:hAnsiTheme="majorEastAsia" w:hint="eastAsia"/>
          <w:sz w:val="24"/>
        </w:rPr>
        <w:t>附图：红外高吸收率涂层材料实验室条件下性能测试结果</w:t>
      </w:r>
    </w:p>
    <w:p w:rsidR="00F11CFC" w:rsidRPr="0079472F" w:rsidRDefault="00F11CFC">
      <w:pPr>
        <w:rPr>
          <w:rFonts w:asciiTheme="minorEastAsia" w:hAnsiTheme="minorEastAsia"/>
          <w:sz w:val="28"/>
          <w:szCs w:val="32"/>
        </w:rPr>
      </w:pP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9C1" w:rsidRDefault="00BA69C1" w:rsidP="00FF5C24">
      <w:r>
        <w:separator/>
      </w:r>
    </w:p>
  </w:endnote>
  <w:endnote w:type="continuationSeparator" w:id="0">
    <w:p w:rsidR="00BA69C1" w:rsidRDefault="00BA69C1"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9C1" w:rsidRDefault="00BA69C1" w:rsidP="00FF5C24">
      <w:r>
        <w:separator/>
      </w:r>
    </w:p>
  </w:footnote>
  <w:footnote w:type="continuationSeparator" w:id="0">
    <w:p w:rsidR="00BA69C1" w:rsidRDefault="00BA69C1"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080D1C"/>
    <w:rsid w:val="001A4356"/>
    <w:rsid w:val="0023252A"/>
    <w:rsid w:val="002F06A6"/>
    <w:rsid w:val="00484A9C"/>
    <w:rsid w:val="004C22E0"/>
    <w:rsid w:val="004D41CB"/>
    <w:rsid w:val="0079472F"/>
    <w:rsid w:val="0086154D"/>
    <w:rsid w:val="009D36C1"/>
    <w:rsid w:val="00B85A6E"/>
    <w:rsid w:val="00BA69C1"/>
    <w:rsid w:val="00DB382C"/>
    <w:rsid w:val="00EF1403"/>
    <w:rsid w:val="00F11CFC"/>
    <w:rsid w:val="00F53C47"/>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121</Words>
  <Characters>695</Characters>
  <Application>Microsoft Office Word</Application>
  <DocSecurity>0</DocSecurity>
  <Lines>5</Lines>
  <Paragraphs>1</Paragraphs>
  <ScaleCrop>false</ScaleCrop>
  <Company>Lenovo</Company>
  <LinksUpToDate>false</LinksUpToDate>
  <CharactersWithSpaces>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2</cp:revision>
  <dcterms:created xsi:type="dcterms:W3CDTF">2021-04-15T02:02:00Z</dcterms:created>
  <dcterms:modified xsi:type="dcterms:W3CDTF">2021-04-15T02:02:00Z</dcterms:modified>
</cp:coreProperties>
</file>